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1314" w14:textId="280E9963" w:rsidR="009E5167" w:rsidRPr="007D2509" w:rsidRDefault="00891500" w:rsidP="006371F4">
      <w:pPr>
        <w:pStyle w:val="Title"/>
        <w:rPr>
          <w:b/>
          <w:bCs/>
          <w:color w:val="490C61" w:themeColor="accent4"/>
        </w:rPr>
      </w:pPr>
      <w:bookmarkStart w:id="0" w:name="_Toc10627025"/>
      <w:bookmarkStart w:id="1" w:name="_Toc10627084"/>
      <w:bookmarkStart w:id="2" w:name="_Toc10629034"/>
      <w:bookmarkStart w:id="3" w:name="_Toc12014594"/>
      <w:r w:rsidRPr="007D2509">
        <w:rPr>
          <w:b/>
          <w:bCs/>
          <w:color w:val="490C61" w:themeColor="accent4"/>
        </w:rPr>
        <w:t>Discu</w:t>
      </w:r>
      <w:r w:rsidR="00CD731A" w:rsidRPr="007D2509">
        <w:rPr>
          <w:b/>
          <w:bCs/>
          <w:color w:val="490C61" w:themeColor="accent4"/>
        </w:rPr>
        <w:t>ssion</w:t>
      </w:r>
      <w:r w:rsidR="00986123" w:rsidRPr="007D2509">
        <w:rPr>
          <w:b/>
          <w:bCs/>
          <w:color w:val="490C61" w:themeColor="accent4"/>
        </w:rPr>
        <w:t xml:space="preserve"> </w:t>
      </w:r>
      <w:bookmarkEnd w:id="0"/>
      <w:bookmarkEnd w:id="1"/>
      <w:bookmarkEnd w:id="2"/>
      <w:bookmarkEnd w:id="3"/>
      <w:r w:rsidR="003E3A47" w:rsidRPr="007D2509">
        <w:rPr>
          <w:b/>
          <w:bCs/>
          <w:color w:val="490C61" w:themeColor="accent4"/>
        </w:rPr>
        <w:t>paper</w:t>
      </w:r>
      <w:r w:rsidR="0090227C" w:rsidRPr="007D2509">
        <w:rPr>
          <w:b/>
          <w:bCs/>
          <w:color w:val="490C61" w:themeColor="accent4"/>
        </w:rPr>
        <w:t>:</w:t>
      </w:r>
      <w:r w:rsidR="001B047B" w:rsidRPr="007D2509">
        <w:rPr>
          <w:b/>
          <w:bCs/>
          <w:color w:val="490C61" w:themeColor="accent4"/>
        </w:rPr>
        <w:t xml:space="preserve"> </w:t>
      </w:r>
    </w:p>
    <w:sdt>
      <w:sdtPr>
        <w:rPr>
          <w:b/>
          <w:bCs/>
          <w:color w:val="490C61" w:themeColor="accent4"/>
        </w:rPr>
        <w:alias w:val="Title"/>
        <w:tag w:val=""/>
        <w:id w:val="1908569063"/>
        <w:placeholder>
          <w:docPart w:val="B0DB913F025B4AFBA87A85C4C1E79D75"/>
        </w:placeholder>
        <w:dataBinding w:prefixMappings="xmlns:ns0='http://purl.org/dc/elements/1.1/' xmlns:ns1='http://schemas.openxmlformats.org/package/2006/metadata/core-properties' " w:xpath="/ns1:coreProperties[1]/ns0:title[1]" w:storeItemID="{6C3C8BC8-F283-45AE-878A-BAB7291924A1}"/>
        <w:text/>
      </w:sdtPr>
      <w:sdtEndPr/>
      <w:sdtContent>
        <w:p w14:paraId="14823026" w14:textId="35413E71" w:rsidR="00200539" w:rsidRPr="007D2509" w:rsidRDefault="00411CFD" w:rsidP="006371F4">
          <w:pPr>
            <w:pStyle w:val="Title"/>
            <w:rPr>
              <w:b/>
              <w:bCs/>
              <w:i/>
              <w:color w:val="490C61" w:themeColor="accent4"/>
            </w:rPr>
          </w:pPr>
          <w:r>
            <w:rPr>
              <w:b/>
              <w:bCs/>
              <w:color w:val="490C61" w:themeColor="accent4"/>
            </w:rPr>
            <w:t>I</w:t>
          </w:r>
          <w:r w:rsidR="00A1673F">
            <w:rPr>
              <w:b/>
              <w:bCs/>
              <w:color w:val="490C61" w:themeColor="accent4"/>
            </w:rPr>
            <w:t>mproving the safety of crane operations</w:t>
          </w:r>
          <w:r w:rsidRPr="007D2509">
            <w:rPr>
              <w:b/>
              <w:bCs/>
              <w:color w:val="490C61" w:themeColor="accent4"/>
            </w:rPr>
            <w:t xml:space="preserve"> in the maritime sector</w:t>
          </w:r>
        </w:p>
      </w:sdtContent>
    </w:sdt>
    <w:p w14:paraId="36883901" w14:textId="77777777" w:rsidR="004939C6" w:rsidRPr="00B13FB2" w:rsidRDefault="004939C6" w:rsidP="000F3944">
      <w:pPr>
        <w:pStyle w:val="2018ReviewCoverSubhead1"/>
        <w:spacing w:before="240" w:after="240"/>
        <w:rPr>
          <w:rFonts w:ascii="Calibri" w:hAnsi="Calibri"/>
          <w:bCs w:val="0"/>
          <w:i w:val="0"/>
          <w:iCs w:val="0"/>
          <w:color w:val="000000" w:themeColor="text1"/>
          <w:szCs w:val="22"/>
          <w:lang w:val="en-AU"/>
        </w:rPr>
      </w:pPr>
    </w:p>
    <w:p w14:paraId="067510EC" w14:textId="73595529" w:rsidR="00BA6F20" w:rsidRDefault="001E6E2B" w:rsidP="001446B5">
      <w:pPr>
        <w:pStyle w:val="2018ReviewCoverSubhead1"/>
        <w:rPr>
          <w:i w:val="0"/>
          <w:color w:val="000000" w:themeColor="text1"/>
          <w:sz w:val="36"/>
          <w:szCs w:val="36"/>
          <w:lang w:val="en-AU"/>
        </w:rPr>
      </w:pPr>
      <w:r>
        <w:rPr>
          <w:i w:val="0"/>
          <w:color w:val="000000" w:themeColor="text1"/>
          <w:sz w:val="36"/>
          <w:szCs w:val="36"/>
          <w:lang w:val="en-AU"/>
        </w:rPr>
        <w:t>March</w:t>
      </w:r>
      <w:r w:rsidR="00301731" w:rsidRPr="00B13FB2">
        <w:rPr>
          <w:i w:val="0"/>
          <w:color w:val="000000" w:themeColor="text1"/>
          <w:sz w:val="36"/>
          <w:szCs w:val="36"/>
          <w:lang w:val="en-AU"/>
        </w:rPr>
        <w:t xml:space="preserve"> </w:t>
      </w:r>
      <w:r w:rsidR="00397AA1" w:rsidRPr="00B13FB2">
        <w:rPr>
          <w:i w:val="0"/>
          <w:color w:val="000000" w:themeColor="text1"/>
          <w:sz w:val="36"/>
          <w:szCs w:val="36"/>
          <w:lang w:val="en-AU"/>
        </w:rPr>
        <w:t>202</w:t>
      </w:r>
      <w:r w:rsidR="00397AA1">
        <w:rPr>
          <w:i w:val="0"/>
          <w:color w:val="000000" w:themeColor="text1"/>
          <w:sz w:val="36"/>
          <w:szCs w:val="36"/>
          <w:lang w:val="en-AU"/>
        </w:rPr>
        <w:t>6</w:t>
      </w:r>
      <w:r w:rsidR="00397AA1" w:rsidRPr="00B13FB2">
        <w:rPr>
          <w:i w:val="0"/>
          <w:color w:val="000000" w:themeColor="text1"/>
          <w:sz w:val="36"/>
          <w:szCs w:val="36"/>
          <w:lang w:val="en-AU"/>
        </w:rPr>
        <w:t xml:space="preserve"> </w:t>
      </w:r>
    </w:p>
    <w:p w14:paraId="0C5D6B35" w14:textId="77777777" w:rsidR="00BA6F20" w:rsidRDefault="00BA6F20" w:rsidP="00BA6F20">
      <w:pPr>
        <w:pStyle w:val="Paragraph0"/>
      </w:pPr>
    </w:p>
    <w:p w14:paraId="0ACF60DA" w14:textId="77777777" w:rsidR="00BA6F20" w:rsidRDefault="00BA6F20" w:rsidP="001446B5">
      <w:pPr>
        <w:pStyle w:val="2018ReviewCoverSubhead1"/>
        <w:rPr>
          <w:i w:val="0"/>
          <w:color w:val="000000" w:themeColor="text1"/>
          <w:sz w:val="36"/>
          <w:szCs w:val="36"/>
          <w:lang w:val="en-AU"/>
        </w:rPr>
        <w:sectPr w:rsidR="00BA6F20" w:rsidSect="00BA6F20">
          <w:headerReference w:type="even" r:id="rId12"/>
          <w:headerReference w:type="default" r:id="rId13"/>
          <w:footerReference w:type="default" r:id="rId14"/>
          <w:headerReference w:type="first" r:id="rId15"/>
          <w:footerReference w:type="first" r:id="rId16"/>
          <w:pgSz w:w="11906" w:h="16838" w:code="9"/>
          <w:pgMar w:top="2268" w:right="1418" w:bottom="2268" w:left="1418" w:header="567" w:footer="1134" w:gutter="0"/>
          <w:cols w:space="242"/>
          <w:vAlign w:val="center"/>
          <w:titlePg/>
          <w:docGrid w:linePitch="360"/>
        </w:sectPr>
      </w:pPr>
    </w:p>
    <w:p w14:paraId="1D11ADBF" w14:textId="77777777" w:rsidR="00200539" w:rsidRPr="00A9399B" w:rsidRDefault="00200539" w:rsidP="00200539">
      <w:pPr>
        <w:pStyle w:val="2018ReviewCoverintroparagraph"/>
        <w:rPr>
          <w:lang w:val="en-AU"/>
        </w:rPr>
      </w:pPr>
    </w:p>
    <w:p w14:paraId="4A434710" w14:textId="77777777" w:rsidR="00F716BA" w:rsidRPr="00340E71" w:rsidRDefault="00F716BA" w:rsidP="00F716BA">
      <w:pPr>
        <w:pStyle w:val="SWADisclaimerbodytext"/>
        <w:rPr>
          <w:rFonts w:cs="Arial"/>
          <w:bCs/>
        </w:rPr>
      </w:pPr>
      <w:bookmarkStart w:id="4" w:name="_Toc8909321"/>
      <w:r w:rsidRPr="00340E71">
        <w:rPr>
          <w:rFonts w:cs="Arial"/>
          <w:bCs/>
        </w:rPr>
        <w:t xml:space="preserve">Safe Work Australia is an Australian Government statutory agency established in 2009. Safe Work Australia includes Members from the Commonwealth, and each state and territory, Members representing the interests of workers and Members representing the interests of employers. </w:t>
      </w:r>
    </w:p>
    <w:p w14:paraId="120A0004" w14:textId="77777777" w:rsidR="00093624" w:rsidRDefault="00F716BA" w:rsidP="00F716BA">
      <w:pPr>
        <w:pStyle w:val="SWADisclaimerbodytext"/>
        <w:rPr>
          <w:rFonts w:cs="Arial"/>
          <w:bCs/>
        </w:rPr>
      </w:pPr>
      <w:r w:rsidRPr="00340E71">
        <w:rPr>
          <w:rFonts w:cs="Arial"/>
          <w:bCs/>
        </w:rPr>
        <w:t>Safe Work Australia works with the Commonwealth, state and territory governments to improve work health and safety and workers’ compensation arrangements. Safe Work Australia is a national policy body, not a regulator of work health and safety. The Commonwealth, states and territories have responsibility for regulating and enforcing work health and safety laws in their jurisdiction.</w:t>
      </w:r>
    </w:p>
    <w:p w14:paraId="24AF4CB5" w14:textId="77777777" w:rsidR="00F716BA" w:rsidRPr="00A9399B" w:rsidRDefault="00F716BA" w:rsidP="00F716BA">
      <w:pPr>
        <w:pStyle w:val="SWADisclaimerbodytext"/>
        <w:rPr>
          <w:rFonts w:cs="Arial"/>
          <w:vertAlign w:val="subscript"/>
        </w:rPr>
      </w:pPr>
      <w:r w:rsidRPr="00A9399B">
        <w:rPr>
          <w:rFonts w:cs="Arial"/>
          <w:noProof/>
          <w:color w:val="2B579A"/>
          <w:shd w:val="clear" w:color="auto" w:fill="E6E6E6"/>
        </w:rPr>
        <w:drawing>
          <wp:inline distT="0" distB="0" distL="0" distR="0" wp14:anchorId="5923964C" wp14:editId="4549BA2D">
            <wp:extent cx="1511300" cy="533400"/>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ative Commons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11300" cy="533400"/>
                    </a:xfrm>
                    <a:prstGeom prst="rect">
                      <a:avLst/>
                    </a:prstGeom>
                    <a:noFill/>
                    <a:ln>
                      <a:noFill/>
                    </a:ln>
                  </pic:spPr>
                </pic:pic>
              </a:graphicData>
            </a:graphic>
          </wp:inline>
        </w:drawing>
      </w:r>
    </w:p>
    <w:p w14:paraId="741E7885" w14:textId="77777777" w:rsidR="00F716BA" w:rsidRPr="00A9399B" w:rsidRDefault="00F716BA" w:rsidP="00F716BA">
      <w:pPr>
        <w:pStyle w:val="SWADisclaimerheading"/>
        <w:rPr>
          <w:rFonts w:cs="Arial"/>
        </w:rPr>
      </w:pPr>
      <w:r w:rsidRPr="00A9399B">
        <w:rPr>
          <w:rFonts w:cs="Arial"/>
        </w:rPr>
        <w:t>Creative Commons</w:t>
      </w:r>
    </w:p>
    <w:p w14:paraId="50026C12" w14:textId="77777777" w:rsidR="00F716BA" w:rsidRDefault="00F716BA" w:rsidP="004B60EF">
      <w:pPr>
        <w:pStyle w:val="SWADisclaimerbodytext"/>
        <w:rPr>
          <w:rFonts w:cs="Arial"/>
          <w:bCs/>
        </w:rPr>
      </w:pPr>
      <w:proofErr w:type="gramStart"/>
      <w:r w:rsidRPr="00340E71">
        <w:rPr>
          <w:rFonts w:cs="Arial"/>
          <w:bCs/>
        </w:rPr>
        <w:t>With the exception of</w:t>
      </w:r>
      <w:proofErr w:type="gramEnd"/>
      <w:r w:rsidRPr="00340E71">
        <w:rPr>
          <w:rFonts w:cs="Arial"/>
          <w:bCs/>
        </w:rPr>
        <w:t xml:space="preserve"> the Safe Work Australia logo, this copyright work is licensed under a Creative Commons Attribution 4.0 International licence. To view a copy of this licence, visit creativecommons.org/licenses </w:t>
      </w:r>
      <w:proofErr w:type="gramStart"/>
      <w:r w:rsidRPr="00340E71">
        <w:rPr>
          <w:rFonts w:cs="Arial"/>
          <w:bCs/>
        </w:rPr>
        <w:t>In</w:t>
      </w:r>
      <w:proofErr w:type="gramEnd"/>
      <w:r w:rsidRPr="00340E71">
        <w:rPr>
          <w:rFonts w:cs="Arial"/>
          <w:bCs/>
        </w:rPr>
        <w:t xml:space="preserve"> essence, you are free to copy, communicate and adapt the work, even commercially, </w:t>
      </w:r>
      <w:proofErr w:type="gramStart"/>
      <w:r w:rsidRPr="00340E71">
        <w:rPr>
          <w:rFonts w:cs="Arial"/>
          <w:bCs/>
        </w:rPr>
        <w:t>as long as</w:t>
      </w:r>
      <w:proofErr w:type="gramEnd"/>
      <w:r w:rsidRPr="00340E71">
        <w:rPr>
          <w:rFonts w:cs="Arial"/>
          <w:bCs/>
        </w:rPr>
        <w:t xml:space="preserve"> you attribute the work to Safe Work Australia and abide by the other licence terms.</w:t>
      </w:r>
      <w:r>
        <w:rPr>
          <w:rFonts w:cs="Arial"/>
          <w:bCs/>
        </w:rPr>
        <w:t xml:space="preserve"> </w:t>
      </w:r>
    </w:p>
    <w:p w14:paraId="07F8BBCB" w14:textId="77777777" w:rsidR="00F716BA" w:rsidRPr="00F716BA" w:rsidRDefault="00F716BA" w:rsidP="00F716BA">
      <w:pPr>
        <w:pStyle w:val="SWADisclaimerheading"/>
        <w:rPr>
          <w:rFonts w:cs="Arial"/>
        </w:rPr>
      </w:pPr>
      <w:r w:rsidRPr="00F716BA">
        <w:rPr>
          <w:rFonts w:cs="Arial"/>
        </w:rPr>
        <w:t>Contact information</w:t>
      </w:r>
    </w:p>
    <w:p w14:paraId="6C4918A2" w14:textId="77777777" w:rsidR="00F716BA" w:rsidRPr="00340E71" w:rsidRDefault="00F716BA" w:rsidP="00F716BA">
      <w:pPr>
        <w:pStyle w:val="2018ReviewDisclaimerbodytext"/>
        <w:rPr>
          <w:rFonts w:cs="Arial"/>
          <w:bCs/>
        </w:rPr>
      </w:pPr>
      <w:r w:rsidRPr="00340E71">
        <w:rPr>
          <w:rFonts w:cs="Arial"/>
          <w:bCs/>
        </w:rPr>
        <w:t xml:space="preserve">Safe Work Australia | </w:t>
      </w:r>
      <w:hyperlink r:id="rId18" w:tooltip="Send email to info@swa.gov.au" w:history="1">
        <w:r>
          <w:rPr>
            <w:rStyle w:val="Hyperlink"/>
            <w:rFonts w:cs="Arial"/>
            <w:bCs/>
          </w:rPr>
          <w:t>info@swa.gov.au</w:t>
        </w:r>
      </w:hyperlink>
      <w:r w:rsidRPr="00340E71">
        <w:rPr>
          <w:rFonts w:cs="Arial"/>
          <w:bCs/>
        </w:rPr>
        <w:t xml:space="preserve"> | </w:t>
      </w:r>
      <w:hyperlink r:id="rId19" w:history="1">
        <w:r w:rsidRPr="00340E71">
          <w:rPr>
            <w:rStyle w:val="Hyperlink"/>
            <w:rFonts w:cs="Arial"/>
            <w:bCs/>
          </w:rPr>
          <w:t>www.swa.gov.au</w:t>
        </w:r>
      </w:hyperlink>
    </w:p>
    <w:p w14:paraId="099B68AC" w14:textId="77777777" w:rsidR="009161B2" w:rsidRDefault="009161B2" w:rsidP="009161B2">
      <w:pPr>
        <w:pStyle w:val="2018ReviewDisclaimerbodytext"/>
      </w:pPr>
    </w:p>
    <w:p w14:paraId="4B430067" w14:textId="77777777" w:rsidR="00BA6F20" w:rsidRPr="00A9399B" w:rsidRDefault="00BA6F20" w:rsidP="009161B2">
      <w:pPr>
        <w:pStyle w:val="2018ReviewDisclaimerbodytext"/>
        <w:sectPr w:rsidR="00BA6F20" w:rsidRPr="00A9399B" w:rsidSect="00BA6F20">
          <w:headerReference w:type="even" r:id="rId20"/>
          <w:headerReference w:type="default" r:id="rId21"/>
          <w:headerReference w:type="first" r:id="rId22"/>
          <w:pgSz w:w="11906" w:h="16838" w:code="9"/>
          <w:pgMar w:top="992" w:right="1797" w:bottom="1440" w:left="1276" w:header="567" w:footer="1134" w:gutter="0"/>
          <w:cols w:space="242"/>
          <w:vAlign w:val="bottom"/>
          <w:docGrid w:linePitch="360"/>
        </w:sectPr>
      </w:pPr>
    </w:p>
    <w:bookmarkEnd w:id="4" w:displacedByCustomXml="next"/>
    <w:bookmarkStart w:id="5" w:name="_Toc141437741" w:displacedByCustomXml="next"/>
    <w:bookmarkStart w:id="6" w:name="_Toc141192057" w:displacedByCustomXml="next"/>
    <w:bookmarkStart w:id="7" w:name="_Toc140837830" w:displacedByCustomXml="next"/>
    <w:bookmarkStart w:id="8" w:name="_Toc9003371" w:displacedByCustomXml="next"/>
    <w:bookmarkStart w:id="9" w:name="_Toc7175261" w:displacedByCustomXml="next"/>
    <w:sdt>
      <w:sdtPr>
        <w:rPr>
          <w:rFonts w:asciiTheme="minorHAnsi" w:eastAsiaTheme="minorEastAsia" w:hAnsiTheme="minorHAnsi" w:cstheme="minorBidi"/>
          <w:b/>
          <w:bCs/>
          <w:noProof/>
          <w:color w:val="auto"/>
          <w:sz w:val="20"/>
          <w:szCs w:val="20"/>
        </w:rPr>
        <w:id w:val="1088268300"/>
        <w:docPartObj>
          <w:docPartGallery w:val="Table of Contents"/>
          <w:docPartUnique/>
        </w:docPartObj>
      </w:sdtPr>
      <w:sdtEndPr/>
      <w:sdtContent>
        <w:p w14:paraId="40BA2574" w14:textId="63FA9D3B" w:rsidR="0065336A" w:rsidRDefault="0065336A">
          <w:pPr>
            <w:pStyle w:val="TOCHeading"/>
          </w:pPr>
          <w:r>
            <w:t>Contents</w:t>
          </w:r>
        </w:p>
        <w:p w14:paraId="070EE48C" w14:textId="77777777" w:rsidR="00D1782E" w:rsidRDefault="00D1782E">
          <w:pPr>
            <w:pStyle w:val="TOC1"/>
          </w:pPr>
        </w:p>
        <w:p w14:paraId="7B17DE2D" w14:textId="1A4D71F7" w:rsidR="0093590B" w:rsidRDefault="0065336A">
          <w:pPr>
            <w:pStyle w:val="TOC1"/>
            <w:rPr>
              <w:b w:val="0"/>
              <w:bCs w:val="0"/>
              <w:kern w:val="2"/>
              <w:sz w:val="24"/>
              <w:szCs w:val="24"/>
              <w:lang w:eastAsia="en-AU"/>
              <w14:ligatures w14:val="standardContextual"/>
            </w:rPr>
          </w:pPr>
          <w:r>
            <w:fldChar w:fldCharType="begin"/>
          </w:r>
          <w:r>
            <w:instrText xml:space="preserve"> TOC \o "1-3" \h \z \u </w:instrText>
          </w:r>
          <w:r>
            <w:fldChar w:fldCharType="separate"/>
          </w:r>
          <w:hyperlink w:anchor="_Toc221540304" w:history="1">
            <w:r w:rsidR="0093590B" w:rsidRPr="00882F0C">
              <w:rPr>
                <w:rStyle w:val="Hyperlink"/>
              </w:rPr>
              <w:t>1.</w:t>
            </w:r>
            <w:r w:rsidR="0093590B">
              <w:rPr>
                <w:b w:val="0"/>
                <w:bCs w:val="0"/>
                <w:kern w:val="2"/>
                <w:sz w:val="24"/>
                <w:szCs w:val="24"/>
                <w:lang w:eastAsia="en-AU"/>
                <w14:ligatures w14:val="standardContextual"/>
              </w:rPr>
              <w:tab/>
            </w:r>
            <w:r w:rsidR="0093590B" w:rsidRPr="00882F0C">
              <w:rPr>
                <w:rStyle w:val="Hyperlink"/>
              </w:rPr>
              <w:t>Introduction and background</w:t>
            </w:r>
            <w:r w:rsidR="0093590B">
              <w:rPr>
                <w:webHidden/>
              </w:rPr>
              <w:tab/>
            </w:r>
            <w:r w:rsidR="0093590B">
              <w:rPr>
                <w:webHidden/>
              </w:rPr>
              <w:fldChar w:fldCharType="begin"/>
            </w:r>
            <w:r w:rsidR="0093590B">
              <w:rPr>
                <w:webHidden/>
              </w:rPr>
              <w:instrText xml:space="preserve"> PAGEREF _Toc221540304 \h </w:instrText>
            </w:r>
            <w:r w:rsidR="0093590B">
              <w:rPr>
                <w:webHidden/>
              </w:rPr>
            </w:r>
            <w:r w:rsidR="0093590B">
              <w:rPr>
                <w:webHidden/>
              </w:rPr>
              <w:fldChar w:fldCharType="separate"/>
            </w:r>
            <w:r w:rsidR="0093590B">
              <w:rPr>
                <w:webHidden/>
              </w:rPr>
              <w:t>4</w:t>
            </w:r>
            <w:r w:rsidR="0093590B">
              <w:rPr>
                <w:webHidden/>
              </w:rPr>
              <w:fldChar w:fldCharType="end"/>
            </w:r>
          </w:hyperlink>
        </w:p>
        <w:p w14:paraId="5DB36778" w14:textId="7F83372E" w:rsidR="0093590B" w:rsidRDefault="0093590B">
          <w:pPr>
            <w:pStyle w:val="TOC2"/>
            <w:rPr>
              <w:b w:val="0"/>
              <w:kern w:val="2"/>
              <w:sz w:val="24"/>
              <w:szCs w:val="24"/>
              <w:lang w:eastAsia="en-AU"/>
              <w14:ligatures w14:val="standardContextual"/>
            </w:rPr>
          </w:pPr>
          <w:hyperlink w:anchor="_Toc221540305" w:history="1">
            <w:r w:rsidRPr="00882F0C">
              <w:rPr>
                <w:rStyle w:val="Hyperlink"/>
                <w:rFonts w:eastAsiaTheme="minorHAnsi" w:cstheme="minorHAnsi"/>
              </w:rPr>
              <w:t>Initial public consultation and changes to encompassment and dogging</w:t>
            </w:r>
            <w:r>
              <w:rPr>
                <w:webHidden/>
              </w:rPr>
              <w:tab/>
            </w:r>
            <w:r>
              <w:rPr>
                <w:webHidden/>
              </w:rPr>
              <w:fldChar w:fldCharType="begin"/>
            </w:r>
            <w:r>
              <w:rPr>
                <w:webHidden/>
              </w:rPr>
              <w:instrText xml:space="preserve"> PAGEREF _Toc221540305 \h </w:instrText>
            </w:r>
            <w:r>
              <w:rPr>
                <w:webHidden/>
              </w:rPr>
            </w:r>
            <w:r>
              <w:rPr>
                <w:webHidden/>
              </w:rPr>
              <w:fldChar w:fldCharType="separate"/>
            </w:r>
            <w:r>
              <w:rPr>
                <w:webHidden/>
              </w:rPr>
              <w:t>4</w:t>
            </w:r>
            <w:r>
              <w:rPr>
                <w:webHidden/>
              </w:rPr>
              <w:fldChar w:fldCharType="end"/>
            </w:r>
          </w:hyperlink>
        </w:p>
        <w:p w14:paraId="46956200" w14:textId="6D0DD84D" w:rsidR="0093590B" w:rsidRDefault="0093590B">
          <w:pPr>
            <w:pStyle w:val="TOC2"/>
            <w:rPr>
              <w:b w:val="0"/>
              <w:kern w:val="2"/>
              <w:sz w:val="24"/>
              <w:szCs w:val="24"/>
              <w:lang w:eastAsia="en-AU"/>
              <w14:ligatures w14:val="standardContextual"/>
            </w:rPr>
          </w:pPr>
          <w:hyperlink w:anchor="_Toc221540306" w:history="1">
            <w:r w:rsidRPr="00882F0C">
              <w:rPr>
                <w:rStyle w:val="Hyperlink"/>
                <w:rFonts w:eastAsiaTheme="minorHAnsi" w:cstheme="minorHAnsi"/>
              </w:rPr>
              <w:t>Further improvements to crane licensing</w:t>
            </w:r>
            <w:r>
              <w:rPr>
                <w:webHidden/>
              </w:rPr>
              <w:tab/>
            </w:r>
            <w:r>
              <w:rPr>
                <w:webHidden/>
              </w:rPr>
              <w:fldChar w:fldCharType="begin"/>
            </w:r>
            <w:r>
              <w:rPr>
                <w:webHidden/>
              </w:rPr>
              <w:instrText xml:space="preserve"> PAGEREF _Toc221540306 \h </w:instrText>
            </w:r>
            <w:r>
              <w:rPr>
                <w:webHidden/>
              </w:rPr>
            </w:r>
            <w:r>
              <w:rPr>
                <w:webHidden/>
              </w:rPr>
              <w:fldChar w:fldCharType="separate"/>
            </w:r>
            <w:r>
              <w:rPr>
                <w:webHidden/>
              </w:rPr>
              <w:t>4</w:t>
            </w:r>
            <w:r>
              <w:rPr>
                <w:webHidden/>
              </w:rPr>
              <w:fldChar w:fldCharType="end"/>
            </w:r>
          </w:hyperlink>
        </w:p>
        <w:p w14:paraId="6BDD7A0E" w14:textId="17CD6A4D" w:rsidR="0093590B" w:rsidRDefault="0093590B">
          <w:pPr>
            <w:pStyle w:val="TOC2"/>
            <w:rPr>
              <w:b w:val="0"/>
              <w:kern w:val="2"/>
              <w:sz w:val="24"/>
              <w:szCs w:val="24"/>
              <w:lang w:eastAsia="en-AU"/>
              <w14:ligatures w14:val="standardContextual"/>
            </w:rPr>
          </w:pPr>
          <w:hyperlink w:anchor="_Toc221540307" w:history="1">
            <w:r w:rsidRPr="00882F0C">
              <w:rPr>
                <w:rStyle w:val="Hyperlink"/>
                <w:rFonts w:eastAsiaTheme="minorHAnsi" w:cstheme="minorHAnsi"/>
              </w:rPr>
              <w:t>Maritime crane survey</w:t>
            </w:r>
            <w:r>
              <w:rPr>
                <w:webHidden/>
              </w:rPr>
              <w:tab/>
            </w:r>
            <w:r>
              <w:rPr>
                <w:webHidden/>
              </w:rPr>
              <w:fldChar w:fldCharType="begin"/>
            </w:r>
            <w:r>
              <w:rPr>
                <w:webHidden/>
              </w:rPr>
              <w:instrText xml:space="preserve"> PAGEREF _Toc221540307 \h </w:instrText>
            </w:r>
            <w:r>
              <w:rPr>
                <w:webHidden/>
              </w:rPr>
            </w:r>
            <w:r>
              <w:rPr>
                <w:webHidden/>
              </w:rPr>
              <w:fldChar w:fldCharType="separate"/>
            </w:r>
            <w:r>
              <w:rPr>
                <w:webHidden/>
              </w:rPr>
              <w:t>5</w:t>
            </w:r>
            <w:r>
              <w:rPr>
                <w:webHidden/>
              </w:rPr>
              <w:fldChar w:fldCharType="end"/>
            </w:r>
          </w:hyperlink>
        </w:p>
        <w:p w14:paraId="2AA0660B" w14:textId="7C27F20E" w:rsidR="0093590B" w:rsidRDefault="0093590B">
          <w:pPr>
            <w:pStyle w:val="TOC2"/>
            <w:rPr>
              <w:b w:val="0"/>
              <w:kern w:val="2"/>
              <w:sz w:val="24"/>
              <w:szCs w:val="24"/>
              <w:lang w:eastAsia="en-AU"/>
              <w14:ligatures w14:val="standardContextual"/>
            </w:rPr>
          </w:pPr>
          <w:hyperlink w:anchor="_Toc221540308" w:history="1">
            <w:r w:rsidRPr="00882F0C">
              <w:rPr>
                <w:rStyle w:val="Hyperlink"/>
                <w:rFonts w:eastAsiaTheme="minorHAnsi" w:cstheme="minorHAnsi"/>
              </w:rPr>
              <w:t>Consultation process</w:t>
            </w:r>
            <w:r>
              <w:rPr>
                <w:webHidden/>
              </w:rPr>
              <w:tab/>
            </w:r>
            <w:r>
              <w:rPr>
                <w:webHidden/>
              </w:rPr>
              <w:fldChar w:fldCharType="begin"/>
            </w:r>
            <w:r>
              <w:rPr>
                <w:webHidden/>
              </w:rPr>
              <w:instrText xml:space="preserve"> PAGEREF _Toc221540308 \h </w:instrText>
            </w:r>
            <w:r>
              <w:rPr>
                <w:webHidden/>
              </w:rPr>
            </w:r>
            <w:r>
              <w:rPr>
                <w:webHidden/>
              </w:rPr>
              <w:fldChar w:fldCharType="separate"/>
            </w:r>
            <w:r>
              <w:rPr>
                <w:webHidden/>
              </w:rPr>
              <w:t>6</w:t>
            </w:r>
            <w:r>
              <w:rPr>
                <w:webHidden/>
              </w:rPr>
              <w:fldChar w:fldCharType="end"/>
            </w:r>
          </w:hyperlink>
        </w:p>
        <w:p w14:paraId="667790AE" w14:textId="32D8707F" w:rsidR="0093590B" w:rsidRDefault="0093590B">
          <w:pPr>
            <w:pStyle w:val="TOC2"/>
            <w:rPr>
              <w:b w:val="0"/>
              <w:kern w:val="2"/>
              <w:sz w:val="24"/>
              <w:szCs w:val="24"/>
              <w:lang w:eastAsia="en-AU"/>
              <w14:ligatures w14:val="standardContextual"/>
            </w:rPr>
          </w:pPr>
          <w:hyperlink w:anchor="_Toc221540309" w:history="1">
            <w:r w:rsidRPr="00882F0C">
              <w:rPr>
                <w:rStyle w:val="Hyperlink"/>
                <w:rFonts w:eastAsiaTheme="minorHAnsi" w:cstheme="minorHAnsi"/>
              </w:rPr>
              <w:t>Crane licence working group</w:t>
            </w:r>
            <w:r>
              <w:rPr>
                <w:webHidden/>
              </w:rPr>
              <w:tab/>
            </w:r>
            <w:r>
              <w:rPr>
                <w:webHidden/>
              </w:rPr>
              <w:fldChar w:fldCharType="begin"/>
            </w:r>
            <w:r>
              <w:rPr>
                <w:webHidden/>
              </w:rPr>
              <w:instrText xml:space="preserve"> PAGEREF _Toc221540309 \h </w:instrText>
            </w:r>
            <w:r>
              <w:rPr>
                <w:webHidden/>
              </w:rPr>
            </w:r>
            <w:r>
              <w:rPr>
                <w:webHidden/>
              </w:rPr>
              <w:fldChar w:fldCharType="separate"/>
            </w:r>
            <w:r>
              <w:rPr>
                <w:webHidden/>
              </w:rPr>
              <w:t>6</w:t>
            </w:r>
            <w:r>
              <w:rPr>
                <w:webHidden/>
              </w:rPr>
              <w:fldChar w:fldCharType="end"/>
            </w:r>
          </w:hyperlink>
        </w:p>
        <w:p w14:paraId="13F65781" w14:textId="7826117B" w:rsidR="0093590B" w:rsidRDefault="0093590B">
          <w:pPr>
            <w:pStyle w:val="TOC2"/>
            <w:rPr>
              <w:b w:val="0"/>
              <w:kern w:val="2"/>
              <w:sz w:val="24"/>
              <w:szCs w:val="24"/>
              <w:lang w:eastAsia="en-AU"/>
              <w14:ligatures w14:val="standardContextual"/>
            </w:rPr>
          </w:pPr>
          <w:hyperlink w:anchor="_Toc221540310" w:history="1">
            <w:r w:rsidRPr="00882F0C">
              <w:rPr>
                <w:rStyle w:val="Hyperlink"/>
                <w:rFonts w:eastAsiaTheme="minorHAnsi" w:cstheme="minorHAnsi"/>
              </w:rPr>
              <w:t>About the model WHS laws</w:t>
            </w:r>
            <w:r>
              <w:rPr>
                <w:webHidden/>
              </w:rPr>
              <w:tab/>
            </w:r>
            <w:r>
              <w:rPr>
                <w:webHidden/>
              </w:rPr>
              <w:fldChar w:fldCharType="begin"/>
            </w:r>
            <w:r>
              <w:rPr>
                <w:webHidden/>
              </w:rPr>
              <w:instrText xml:space="preserve"> PAGEREF _Toc221540310 \h </w:instrText>
            </w:r>
            <w:r>
              <w:rPr>
                <w:webHidden/>
              </w:rPr>
            </w:r>
            <w:r>
              <w:rPr>
                <w:webHidden/>
              </w:rPr>
              <w:fldChar w:fldCharType="separate"/>
            </w:r>
            <w:r>
              <w:rPr>
                <w:webHidden/>
              </w:rPr>
              <w:t>6</w:t>
            </w:r>
            <w:r>
              <w:rPr>
                <w:webHidden/>
              </w:rPr>
              <w:fldChar w:fldCharType="end"/>
            </w:r>
          </w:hyperlink>
        </w:p>
        <w:p w14:paraId="6C879FBD" w14:textId="3D671BC5" w:rsidR="0093590B" w:rsidRDefault="0093590B">
          <w:pPr>
            <w:pStyle w:val="TOC2"/>
            <w:rPr>
              <w:b w:val="0"/>
              <w:kern w:val="2"/>
              <w:sz w:val="24"/>
              <w:szCs w:val="24"/>
              <w:lang w:eastAsia="en-AU"/>
              <w14:ligatures w14:val="standardContextual"/>
            </w:rPr>
          </w:pPr>
          <w:hyperlink w:anchor="_Toc221540311" w:history="1">
            <w:r w:rsidRPr="00882F0C">
              <w:rPr>
                <w:rStyle w:val="Hyperlink"/>
                <w:rFonts w:eastAsiaTheme="minorHAnsi" w:cstheme="minorHAnsi"/>
              </w:rPr>
              <w:t>High Risk Work licensing</w:t>
            </w:r>
            <w:r>
              <w:rPr>
                <w:webHidden/>
              </w:rPr>
              <w:tab/>
            </w:r>
            <w:r>
              <w:rPr>
                <w:webHidden/>
              </w:rPr>
              <w:fldChar w:fldCharType="begin"/>
            </w:r>
            <w:r>
              <w:rPr>
                <w:webHidden/>
              </w:rPr>
              <w:instrText xml:space="preserve"> PAGEREF _Toc221540311 \h </w:instrText>
            </w:r>
            <w:r>
              <w:rPr>
                <w:webHidden/>
              </w:rPr>
            </w:r>
            <w:r>
              <w:rPr>
                <w:webHidden/>
              </w:rPr>
              <w:fldChar w:fldCharType="separate"/>
            </w:r>
            <w:r>
              <w:rPr>
                <w:webHidden/>
              </w:rPr>
              <w:t>6</w:t>
            </w:r>
            <w:r>
              <w:rPr>
                <w:webHidden/>
              </w:rPr>
              <w:fldChar w:fldCharType="end"/>
            </w:r>
          </w:hyperlink>
        </w:p>
        <w:p w14:paraId="2A08187D" w14:textId="3C44CB8D" w:rsidR="0093590B" w:rsidRDefault="0093590B">
          <w:pPr>
            <w:pStyle w:val="TOC2"/>
            <w:rPr>
              <w:b w:val="0"/>
              <w:kern w:val="2"/>
              <w:sz w:val="24"/>
              <w:szCs w:val="24"/>
              <w:lang w:eastAsia="en-AU"/>
              <w14:ligatures w14:val="standardContextual"/>
            </w:rPr>
          </w:pPr>
          <w:hyperlink w:anchor="_Toc221540312" w:history="1">
            <w:r w:rsidRPr="00882F0C">
              <w:rPr>
                <w:rStyle w:val="Hyperlink"/>
                <w:rFonts w:eastAsiaTheme="minorHAnsi" w:cstheme="minorHAnsi"/>
              </w:rPr>
              <w:t>Vocational Education and Training</w:t>
            </w:r>
            <w:r>
              <w:rPr>
                <w:webHidden/>
              </w:rPr>
              <w:tab/>
            </w:r>
            <w:r>
              <w:rPr>
                <w:webHidden/>
              </w:rPr>
              <w:fldChar w:fldCharType="begin"/>
            </w:r>
            <w:r>
              <w:rPr>
                <w:webHidden/>
              </w:rPr>
              <w:instrText xml:space="preserve"> PAGEREF _Toc221540312 \h </w:instrText>
            </w:r>
            <w:r>
              <w:rPr>
                <w:webHidden/>
              </w:rPr>
            </w:r>
            <w:r>
              <w:rPr>
                <w:webHidden/>
              </w:rPr>
              <w:fldChar w:fldCharType="separate"/>
            </w:r>
            <w:r>
              <w:rPr>
                <w:webHidden/>
              </w:rPr>
              <w:t>7</w:t>
            </w:r>
            <w:r>
              <w:rPr>
                <w:webHidden/>
              </w:rPr>
              <w:fldChar w:fldCharType="end"/>
            </w:r>
          </w:hyperlink>
        </w:p>
        <w:p w14:paraId="13A02C95" w14:textId="10CE3D88" w:rsidR="0093590B" w:rsidRDefault="0093590B">
          <w:pPr>
            <w:pStyle w:val="TOC1"/>
            <w:rPr>
              <w:b w:val="0"/>
              <w:bCs w:val="0"/>
              <w:kern w:val="2"/>
              <w:sz w:val="24"/>
              <w:szCs w:val="24"/>
              <w:lang w:eastAsia="en-AU"/>
              <w14:ligatures w14:val="standardContextual"/>
            </w:rPr>
          </w:pPr>
          <w:hyperlink w:anchor="_Toc221540313" w:history="1">
            <w:r w:rsidRPr="00882F0C">
              <w:rPr>
                <w:rStyle w:val="Hyperlink"/>
              </w:rPr>
              <w:t>2.</w:t>
            </w:r>
            <w:r>
              <w:rPr>
                <w:b w:val="0"/>
                <w:bCs w:val="0"/>
                <w:kern w:val="2"/>
                <w:sz w:val="24"/>
                <w:szCs w:val="24"/>
                <w:lang w:eastAsia="en-AU"/>
                <w14:ligatures w14:val="standardContextual"/>
              </w:rPr>
              <w:tab/>
            </w:r>
            <w:r w:rsidRPr="00882F0C">
              <w:rPr>
                <w:rStyle w:val="Hyperlink"/>
              </w:rPr>
              <w:t>How to provide feedback</w:t>
            </w:r>
            <w:r>
              <w:rPr>
                <w:webHidden/>
              </w:rPr>
              <w:tab/>
            </w:r>
            <w:r>
              <w:rPr>
                <w:webHidden/>
              </w:rPr>
              <w:fldChar w:fldCharType="begin"/>
            </w:r>
            <w:r>
              <w:rPr>
                <w:webHidden/>
              </w:rPr>
              <w:instrText xml:space="preserve"> PAGEREF _Toc221540313 \h </w:instrText>
            </w:r>
            <w:r>
              <w:rPr>
                <w:webHidden/>
              </w:rPr>
            </w:r>
            <w:r>
              <w:rPr>
                <w:webHidden/>
              </w:rPr>
              <w:fldChar w:fldCharType="separate"/>
            </w:r>
            <w:r>
              <w:rPr>
                <w:webHidden/>
              </w:rPr>
              <w:t>8</w:t>
            </w:r>
            <w:r>
              <w:rPr>
                <w:webHidden/>
              </w:rPr>
              <w:fldChar w:fldCharType="end"/>
            </w:r>
          </w:hyperlink>
        </w:p>
        <w:p w14:paraId="02DB1A50" w14:textId="5ACDCE7C" w:rsidR="0093590B" w:rsidRDefault="0093590B">
          <w:pPr>
            <w:pStyle w:val="TOC2"/>
            <w:rPr>
              <w:b w:val="0"/>
              <w:kern w:val="2"/>
              <w:sz w:val="24"/>
              <w:szCs w:val="24"/>
              <w:lang w:eastAsia="en-AU"/>
              <w14:ligatures w14:val="standardContextual"/>
            </w:rPr>
          </w:pPr>
          <w:hyperlink w:anchor="_Toc221540314" w:history="1">
            <w:r w:rsidRPr="00882F0C">
              <w:rPr>
                <w:rStyle w:val="Hyperlink"/>
                <w:rFonts w:eastAsiaTheme="minorHAnsi" w:cstheme="minorHAnsi"/>
              </w:rPr>
              <w:t>Making a submission</w:t>
            </w:r>
            <w:r>
              <w:rPr>
                <w:webHidden/>
              </w:rPr>
              <w:tab/>
            </w:r>
            <w:r>
              <w:rPr>
                <w:webHidden/>
              </w:rPr>
              <w:fldChar w:fldCharType="begin"/>
            </w:r>
            <w:r>
              <w:rPr>
                <w:webHidden/>
              </w:rPr>
              <w:instrText xml:space="preserve"> PAGEREF _Toc221540314 \h </w:instrText>
            </w:r>
            <w:r>
              <w:rPr>
                <w:webHidden/>
              </w:rPr>
            </w:r>
            <w:r>
              <w:rPr>
                <w:webHidden/>
              </w:rPr>
              <w:fldChar w:fldCharType="separate"/>
            </w:r>
            <w:r>
              <w:rPr>
                <w:webHidden/>
              </w:rPr>
              <w:t>8</w:t>
            </w:r>
            <w:r>
              <w:rPr>
                <w:webHidden/>
              </w:rPr>
              <w:fldChar w:fldCharType="end"/>
            </w:r>
          </w:hyperlink>
        </w:p>
        <w:p w14:paraId="2A8D1BCC" w14:textId="0DCE7352" w:rsidR="0093590B" w:rsidRDefault="0093590B">
          <w:pPr>
            <w:pStyle w:val="TOC1"/>
            <w:rPr>
              <w:b w:val="0"/>
              <w:bCs w:val="0"/>
              <w:kern w:val="2"/>
              <w:sz w:val="24"/>
              <w:szCs w:val="24"/>
              <w:lang w:eastAsia="en-AU"/>
              <w14:ligatures w14:val="standardContextual"/>
            </w:rPr>
          </w:pPr>
          <w:hyperlink w:anchor="_Toc221540315" w:history="1">
            <w:r w:rsidRPr="00882F0C">
              <w:rPr>
                <w:rStyle w:val="Hyperlink"/>
              </w:rPr>
              <w:t>3.</w:t>
            </w:r>
            <w:r>
              <w:rPr>
                <w:b w:val="0"/>
                <w:bCs w:val="0"/>
                <w:kern w:val="2"/>
                <w:sz w:val="24"/>
                <w:szCs w:val="24"/>
                <w:lang w:eastAsia="en-AU"/>
                <w14:ligatures w14:val="standardContextual"/>
              </w:rPr>
              <w:tab/>
            </w:r>
            <w:r w:rsidRPr="00882F0C">
              <w:rPr>
                <w:rStyle w:val="Hyperlink"/>
              </w:rPr>
              <w:t>Current arrangements for cranes in the maritime industry</w:t>
            </w:r>
            <w:r>
              <w:rPr>
                <w:webHidden/>
              </w:rPr>
              <w:tab/>
            </w:r>
            <w:r>
              <w:rPr>
                <w:webHidden/>
              </w:rPr>
              <w:fldChar w:fldCharType="begin"/>
            </w:r>
            <w:r>
              <w:rPr>
                <w:webHidden/>
              </w:rPr>
              <w:instrText xml:space="preserve"> PAGEREF _Toc221540315 \h </w:instrText>
            </w:r>
            <w:r>
              <w:rPr>
                <w:webHidden/>
              </w:rPr>
            </w:r>
            <w:r>
              <w:rPr>
                <w:webHidden/>
              </w:rPr>
              <w:fldChar w:fldCharType="separate"/>
            </w:r>
            <w:r>
              <w:rPr>
                <w:webHidden/>
              </w:rPr>
              <w:t>9</w:t>
            </w:r>
            <w:r>
              <w:rPr>
                <w:webHidden/>
              </w:rPr>
              <w:fldChar w:fldCharType="end"/>
            </w:r>
          </w:hyperlink>
        </w:p>
        <w:p w14:paraId="02702573" w14:textId="3B41ADA3" w:rsidR="0093590B" w:rsidRDefault="0093590B">
          <w:pPr>
            <w:pStyle w:val="TOC2"/>
            <w:rPr>
              <w:b w:val="0"/>
              <w:kern w:val="2"/>
              <w:sz w:val="24"/>
              <w:szCs w:val="24"/>
              <w:lang w:eastAsia="en-AU"/>
              <w14:ligatures w14:val="standardContextual"/>
            </w:rPr>
          </w:pPr>
          <w:hyperlink w:anchor="_Toc221540316" w:history="1">
            <w:r w:rsidRPr="00882F0C">
              <w:rPr>
                <w:rStyle w:val="Hyperlink"/>
              </w:rPr>
              <w:t>3.1.</w:t>
            </w:r>
            <w:r>
              <w:rPr>
                <w:b w:val="0"/>
                <w:kern w:val="2"/>
                <w:sz w:val="24"/>
                <w:szCs w:val="24"/>
                <w:lang w:eastAsia="en-AU"/>
                <w14:ligatures w14:val="standardContextual"/>
              </w:rPr>
              <w:tab/>
            </w:r>
            <w:r w:rsidRPr="00882F0C">
              <w:rPr>
                <w:rStyle w:val="Hyperlink"/>
              </w:rPr>
              <w:t>Legislation applying to cranes in maritime workplaces</w:t>
            </w:r>
            <w:r>
              <w:rPr>
                <w:webHidden/>
              </w:rPr>
              <w:tab/>
            </w:r>
            <w:r>
              <w:rPr>
                <w:webHidden/>
              </w:rPr>
              <w:fldChar w:fldCharType="begin"/>
            </w:r>
            <w:r>
              <w:rPr>
                <w:webHidden/>
              </w:rPr>
              <w:instrText xml:space="preserve"> PAGEREF _Toc221540316 \h </w:instrText>
            </w:r>
            <w:r>
              <w:rPr>
                <w:webHidden/>
              </w:rPr>
            </w:r>
            <w:r>
              <w:rPr>
                <w:webHidden/>
              </w:rPr>
              <w:fldChar w:fldCharType="separate"/>
            </w:r>
            <w:r>
              <w:rPr>
                <w:webHidden/>
              </w:rPr>
              <w:t>9</w:t>
            </w:r>
            <w:r>
              <w:rPr>
                <w:webHidden/>
              </w:rPr>
              <w:fldChar w:fldCharType="end"/>
            </w:r>
          </w:hyperlink>
        </w:p>
        <w:p w14:paraId="23596A12" w14:textId="174AE0CD" w:rsidR="0093590B" w:rsidRDefault="0093590B">
          <w:pPr>
            <w:pStyle w:val="TOC1"/>
            <w:rPr>
              <w:b w:val="0"/>
              <w:bCs w:val="0"/>
              <w:kern w:val="2"/>
              <w:sz w:val="24"/>
              <w:szCs w:val="24"/>
              <w:lang w:eastAsia="en-AU"/>
              <w14:ligatures w14:val="standardContextual"/>
            </w:rPr>
          </w:pPr>
          <w:hyperlink w:anchor="_Toc221540317" w:history="1">
            <w:r w:rsidRPr="00882F0C">
              <w:rPr>
                <w:rStyle w:val="Hyperlink"/>
              </w:rPr>
              <w:t>4.</w:t>
            </w:r>
            <w:r>
              <w:rPr>
                <w:b w:val="0"/>
                <w:bCs w:val="0"/>
                <w:kern w:val="2"/>
                <w:sz w:val="24"/>
                <w:szCs w:val="24"/>
                <w:lang w:eastAsia="en-AU"/>
                <w14:ligatures w14:val="standardContextual"/>
              </w:rPr>
              <w:tab/>
            </w:r>
            <w:r w:rsidRPr="00882F0C">
              <w:rPr>
                <w:rStyle w:val="Hyperlink"/>
              </w:rPr>
              <w:t>What is the problem?</w:t>
            </w:r>
            <w:r>
              <w:rPr>
                <w:webHidden/>
              </w:rPr>
              <w:tab/>
            </w:r>
            <w:r>
              <w:rPr>
                <w:webHidden/>
              </w:rPr>
              <w:fldChar w:fldCharType="begin"/>
            </w:r>
            <w:r>
              <w:rPr>
                <w:webHidden/>
              </w:rPr>
              <w:instrText xml:space="preserve"> PAGEREF _Toc221540317 \h </w:instrText>
            </w:r>
            <w:r>
              <w:rPr>
                <w:webHidden/>
              </w:rPr>
            </w:r>
            <w:r>
              <w:rPr>
                <w:webHidden/>
              </w:rPr>
              <w:fldChar w:fldCharType="separate"/>
            </w:r>
            <w:r>
              <w:rPr>
                <w:webHidden/>
              </w:rPr>
              <w:t>12</w:t>
            </w:r>
            <w:r>
              <w:rPr>
                <w:webHidden/>
              </w:rPr>
              <w:fldChar w:fldCharType="end"/>
            </w:r>
          </w:hyperlink>
        </w:p>
        <w:p w14:paraId="3846FE59" w14:textId="2121EB7D" w:rsidR="0093590B" w:rsidRDefault="0093590B">
          <w:pPr>
            <w:pStyle w:val="TOC1"/>
            <w:rPr>
              <w:b w:val="0"/>
              <w:bCs w:val="0"/>
              <w:kern w:val="2"/>
              <w:sz w:val="24"/>
              <w:szCs w:val="24"/>
              <w:lang w:eastAsia="en-AU"/>
              <w14:ligatures w14:val="standardContextual"/>
            </w:rPr>
          </w:pPr>
          <w:hyperlink w:anchor="_Toc221540318" w:history="1">
            <w:r w:rsidRPr="00882F0C">
              <w:rPr>
                <w:rStyle w:val="Hyperlink"/>
              </w:rPr>
              <w:t>5.</w:t>
            </w:r>
            <w:r>
              <w:rPr>
                <w:b w:val="0"/>
                <w:bCs w:val="0"/>
                <w:kern w:val="2"/>
                <w:sz w:val="24"/>
                <w:szCs w:val="24"/>
                <w:lang w:eastAsia="en-AU"/>
                <w14:ligatures w14:val="standardContextual"/>
              </w:rPr>
              <w:tab/>
            </w:r>
            <w:r w:rsidRPr="00882F0C">
              <w:rPr>
                <w:rStyle w:val="Hyperlink"/>
              </w:rPr>
              <w:t>Options for public feedback</w:t>
            </w:r>
            <w:r>
              <w:rPr>
                <w:webHidden/>
              </w:rPr>
              <w:tab/>
            </w:r>
            <w:r>
              <w:rPr>
                <w:webHidden/>
              </w:rPr>
              <w:fldChar w:fldCharType="begin"/>
            </w:r>
            <w:r>
              <w:rPr>
                <w:webHidden/>
              </w:rPr>
              <w:instrText xml:space="preserve"> PAGEREF _Toc221540318 \h </w:instrText>
            </w:r>
            <w:r>
              <w:rPr>
                <w:webHidden/>
              </w:rPr>
            </w:r>
            <w:r>
              <w:rPr>
                <w:webHidden/>
              </w:rPr>
              <w:fldChar w:fldCharType="separate"/>
            </w:r>
            <w:r>
              <w:rPr>
                <w:webHidden/>
              </w:rPr>
              <w:t>14</w:t>
            </w:r>
            <w:r>
              <w:rPr>
                <w:webHidden/>
              </w:rPr>
              <w:fldChar w:fldCharType="end"/>
            </w:r>
          </w:hyperlink>
        </w:p>
        <w:p w14:paraId="16986397" w14:textId="064D09C4" w:rsidR="0093590B" w:rsidRDefault="0093590B">
          <w:pPr>
            <w:pStyle w:val="TOC2"/>
            <w:rPr>
              <w:b w:val="0"/>
              <w:kern w:val="2"/>
              <w:sz w:val="24"/>
              <w:szCs w:val="24"/>
              <w:lang w:eastAsia="en-AU"/>
              <w14:ligatures w14:val="standardContextual"/>
            </w:rPr>
          </w:pPr>
          <w:hyperlink w:anchor="_Toc221540319" w:history="1">
            <w:r w:rsidRPr="00882F0C">
              <w:rPr>
                <w:rStyle w:val="Hyperlink"/>
              </w:rPr>
              <w:t>5.1.</w:t>
            </w:r>
            <w:r>
              <w:rPr>
                <w:b w:val="0"/>
                <w:kern w:val="2"/>
                <w:sz w:val="24"/>
                <w:szCs w:val="24"/>
                <w:lang w:eastAsia="en-AU"/>
                <w14:ligatures w14:val="standardContextual"/>
              </w:rPr>
              <w:tab/>
            </w:r>
            <w:r w:rsidRPr="00882F0C">
              <w:rPr>
                <w:rStyle w:val="Hyperlink"/>
              </w:rPr>
              <w:t>Summary of proposed options</w:t>
            </w:r>
            <w:r>
              <w:rPr>
                <w:webHidden/>
              </w:rPr>
              <w:tab/>
            </w:r>
            <w:r>
              <w:rPr>
                <w:webHidden/>
              </w:rPr>
              <w:fldChar w:fldCharType="begin"/>
            </w:r>
            <w:r>
              <w:rPr>
                <w:webHidden/>
              </w:rPr>
              <w:instrText xml:space="preserve"> PAGEREF _Toc221540319 \h </w:instrText>
            </w:r>
            <w:r>
              <w:rPr>
                <w:webHidden/>
              </w:rPr>
            </w:r>
            <w:r>
              <w:rPr>
                <w:webHidden/>
              </w:rPr>
              <w:fldChar w:fldCharType="separate"/>
            </w:r>
            <w:r>
              <w:rPr>
                <w:webHidden/>
              </w:rPr>
              <w:t>14</w:t>
            </w:r>
            <w:r>
              <w:rPr>
                <w:webHidden/>
              </w:rPr>
              <w:fldChar w:fldCharType="end"/>
            </w:r>
          </w:hyperlink>
        </w:p>
        <w:p w14:paraId="6F3167BA" w14:textId="40E923A2" w:rsidR="0093590B" w:rsidRDefault="0093590B">
          <w:pPr>
            <w:pStyle w:val="TOC2"/>
            <w:rPr>
              <w:b w:val="0"/>
              <w:kern w:val="2"/>
              <w:sz w:val="24"/>
              <w:szCs w:val="24"/>
              <w:lang w:eastAsia="en-AU"/>
              <w14:ligatures w14:val="standardContextual"/>
            </w:rPr>
          </w:pPr>
          <w:hyperlink w:anchor="_Toc221540320" w:history="1">
            <w:r w:rsidRPr="00882F0C">
              <w:rPr>
                <w:rStyle w:val="Hyperlink"/>
                <w:rFonts w:eastAsiaTheme="minorHAnsi" w:cstheme="minorHAnsi"/>
                <w:i/>
                <w:iCs/>
              </w:rPr>
              <w:t xml:space="preserve">Option 1 </w:t>
            </w:r>
            <w:r w:rsidRPr="00882F0C">
              <w:rPr>
                <w:rStyle w:val="Hyperlink"/>
                <w:bCs/>
                <w:i/>
                <w:iCs/>
              </w:rPr>
              <w:t xml:space="preserve">– </w:t>
            </w:r>
            <w:r w:rsidRPr="00882F0C">
              <w:rPr>
                <w:rStyle w:val="Hyperlink"/>
                <w:rFonts w:eastAsiaTheme="minorHAnsi" w:cstheme="minorHAnsi"/>
                <w:i/>
                <w:iCs/>
              </w:rPr>
              <w:t>Retain existing arrangements with the development of supporting national guidance (non-regulatory option).</w:t>
            </w:r>
            <w:r>
              <w:rPr>
                <w:webHidden/>
              </w:rPr>
              <w:tab/>
            </w:r>
            <w:r>
              <w:rPr>
                <w:webHidden/>
              </w:rPr>
              <w:fldChar w:fldCharType="begin"/>
            </w:r>
            <w:r>
              <w:rPr>
                <w:webHidden/>
              </w:rPr>
              <w:instrText xml:space="preserve"> PAGEREF _Toc221540320 \h </w:instrText>
            </w:r>
            <w:r>
              <w:rPr>
                <w:webHidden/>
              </w:rPr>
            </w:r>
            <w:r>
              <w:rPr>
                <w:webHidden/>
              </w:rPr>
              <w:fldChar w:fldCharType="separate"/>
            </w:r>
            <w:r>
              <w:rPr>
                <w:webHidden/>
              </w:rPr>
              <w:t>14</w:t>
            </w:r>
            <w:r>
              <w:rPr>
                <w:webHidden/>
              </w:rPr>
              <w:fldChar w:fldCharType="end"/>
            </w:r>
          </w:hyperlink>
        </w:p>
        <w:p w14:paraId="55653C89" w14:textId="2DDFCC1F" w:rsidR="0093590B" w:rsidRDefault="0093590B">
          <w:pPr>
            <w:pStyle w:val="TOC2"/>
            <w:rPr>
              <w:b w:val="0"/>
              <w:kern w:val="2"/>
              <w:sz w:val="24"/>
              <w:szCs w:val="24"/>
              <w:lang w:eastAsia="en-AU"/>
              <w14:ligatures w14:val="standardContextual"/>
            </w:rPr>
          </w:pPr>
          <w:hyperlink w:anchor="_Toc221540321" w:history="1">
            <w:r w:rsidRPr="00882F0C">
              <w:rPr>
                <w:rStyle w:val="Hyperlink"/>
                <w:rFonts w:eastAsiaTheme="minorHAnsi" w:cstheme="minorHAnsi"/>
                <w:i/>
                <w:iCs/>
              </w:rPr>
              <w:t xml:space="preserve">Option 2 </w:t>
            </w:r>
            <w:r w:rsidRPr="00882F0C">
              <w:rPr>
                <w:rStyle w:val="Hyperlink"/>
                <w:bCs/>
                <w:i/>
                <w:iCs/>
              </w:rPr>
              <w:t>–</w:t>
            </w:r>
            <w:r w:rsidRPr="00882F0C">
              <w:rPr>
                <w:rStyle w:val="Hyperlink"/>
                <w:rFonts w:eastAsiaTheme="minorHAnsi" w:cstheme="minorHAnsi"/>
                <w:i/>
                <w:iCs/>
              </w:rPr>
              <w:t xml:space="preserve"> Introduce a mandated training requirement for crane operations on or over water.</w:t>
            </w:r>
            <w:r>
              <w:rPr>
                <w:webHidden/>
              </w:rPr>
              <w:tab/>
            </w:r>
            <w:r>
              <w:rPr>
                <w:webHidden/>
              </w:rPr>
              <w:fldChar w:fldCharType="begin"/>
            </w:r>
            <w:r>
              <w:rPr>
                <w:webHidden/>
              </w:rPr>
              <w:instrText xml:space="preserve"> PAGEREF _Toc221540321 \h </w:instrText>
            </w:r>
            <w:r>
              <w:rPr>
                <w:webHidden/>
              </w:rPr>
            </w:r>
            <w:r>
              <w:rPr>
                <w:webHidden/>
              </w:rPr>
              <w:fldChar w:fldCharType="separate"/>
            </w:r>
            <w:r>
              <w:rPr>
                <w:webHidden/>
              </w:rPr>
              <w:t>15</w:t>
            </w:r>
            <w:r>
              <w:rPr>
                <w:webHidden/>
              </w:rPr>
              <w:fldChar w:fldCharType="end"/>
            </w:r>
          </w:hyperlink>
        </w:p>
        <w:p w14:paraId="27D03840" w14:textId="778B54CD" w:rsidR="0093590B" w:rsidRDefault="0093590B">
          <w:pPr>
            <w:pStyle w:val="TOC2"/>
            <w:rPr>
              <w:b w:val="0"/>
              <w:kern w:val="2"/>
              <w:sz w:val="24"/>
              <w:szCs w:val="24"/>
              <w:lang w:eastAsia="en-AU"/>
              <w14:ligatures w14:val="standardContextual"/>
            </w:rPr>
          </w:pPr>
          <w:hyperlink w:anchor="_Toc221540322" w:history="1">
            <w:r w:rsidRPr="00882F0C">
              <w:rPr>
                <w:rStyle w:val="Hyperlink"/>
                <w:rFonts w:ascii="Arial" w:eastAsiaTheme="minorHAnsi" w:hAnsi="Arial" w:cs="Arial"/>
                <w:i/>
                <w:iCs/>
              </w:rPr>
              <w:t>Option 3 – Introduce a new class of HRW for maritime crane operations.</w:t>
            </w:r>
            <w:r>
              <w:rPr>
                <w:webHidden/>
              </w:rPr>
              <w:tab/>
            </w:r>
            <w:r>
              <w:rPr>
                <w:webHidden/>
              </w:rPr>
              <w:fldChar w:fldCharType="begin"/>
            </w:r>
            <w:r>
              <w:rPr>
                <w:webHidden/>
              </w:rPr>
              <w:instrText xml:space="preserve"> PAGEREF _Toc221540322 \h </w:instrText>
            </w:r>
            <w:r>
              <w:rPr>
                <w:webHidden/>
              </w:rPr>
            </w:r>
            <w:r>
              <w:rPr>
                <w:webHidden/>
              </w:rPr>
              <w:fldChar w:fldCharType="separate"/>
            </w:r>
            <w:r>
              <w:rPr>
                <w:webHidden/>
              </w:rPr>
              <w:t>17</w:t>
            </w:r>
            <w:r>
              <w:rPr>
                <w:webHidden/>
              </w:rPr>
              <w:fldChar w:fldCharType="end"/>
            </w:r>
          </w:hyperlink>
        </w:p>
        <w:p w14:paraId="7A0AB8FA" w14:textId="5B6E59DB" w:rsidR="0093590B" w:rsidRDefault="0093590B">
          <w:pPr>
            <w:pStyle w:val="TOC2"/>
            <w:rPr>
              <w:b w:val="0"/>
              <w:kern w:val="2"/>
              <w:sz w:val="24"/>
              <w:szCs w:val="24"/>
              <w:lang w:eastAsia="en-AU"/>
              <w14:ligatures w14:val="standardContextual"/>
            </w:rPr>
          </w:pPr>
          <w:hyperlink w:anchor="_Toc221540323" w:history="1">
            <w:r w:rsidRPr="00882F0C">
              <w:rPr>
                <w:rStyle w:val="Hyperlink"/>
                <w:rFonts w:ascii="Arial" w:eastAsiaTheme="minorHAnsi" w:hAnsi="Arial" w:cs="Arial"/>
                <w:i/>
                <w:iCs/>
              </w:rPr>
              <w:t>Option 4: Additional competency requirements for offshore and subsea lifting</w:t>
            </w:r>
            <w:r>
              <w:rPr>
                <w:webHidden/>
              </w:rPr>
              <w:tab/>
            </w:r>
            <w:r>
              <w:rPr>
                <w:webHidden/>
              </w:rPr>
              <w:fldChar w:fldCharType="begin"/>
            </w:r>
            <w:r>
              <w:rPr>
                <w:webHidden/>
              </w:rPr>
              <w:instrText xml:space="preserve"> PAGEREF _Toc221540323 \h </w:instrText>
            </w:r>
            <w:r>
              <w:rPr>
                <w:webHidden/>
              </w:rPr>
            </w:r>
            <w:r>
              <w:rPr>
                <w:webHidden/>
              </w:rPr>
              <w:fldChar w:fldCharType="separate"/>
            </w:r>
            <w:r>
              <w:rPr>
                <w:webHidden/>
              </w:rPr>
              <w:t>20</w:t>
            </w:r>
            <w:r>
              <w:rPr>
                <w:webHidden/>
              </w:rPr>
              <w:fldChar w:fldCharType="end"/>
            </w:r>
          </w:hyperlink>
        </w:p>
        <w:p w14:paraId="086744D6" w14:textId="698B04F1" w:rsidR="0093590B" w:rsidRDefault="0093590B">
          <w:pPr>
            <w:pStyle w:val="TOC2"/>
            <w:rPr>
              <w:b w:val="0"/>
              <w:kern w:val="2"/>
              <w:sz w:val="24"/>
              <w:szCs w:val="24"/>
              <w:lang w:eastAsia="en-AU"/>
              <w14:ligatures w14:val="standardContextual"/>
            </w:rPr>
          </w:pPr>
          <w:hyperlink w:anchor="_Toc221540324" w:history="1">
            <w:r w:rsidRPr="00882F0C">
              <w:rPr>
                <w:rStyle w:val="Hyperlink"/>
                <w:rFonts w:eastAsiaTheme="minorHAnsi" w:cstheme="minorHAnsi"/>
                <w:i/>
                <w:iCs/>
              </w:rPr>
              <w:t>Potential combination of reform options</w:t>
            </w:r>
            <w:r>
              <w:rPr>
                <w:webHidden/>
              </w:rPr>
              <w:tab/>
            </w:r>
            <w:r>
              <w:rPr>
                <w:webHidden/>
              </w:rPr>
              <w:fldChar w:fldCharType="begin"/>
            </w:r>
            <w:r>
              <w:rPr>
                <w:webHidden/>
              </w:rPr>
              <w:instrText xml:space="preserve"> PAGEREF _Toc221540324 \h </w:instrText>
            </w:r>
            <w:r>
              <w:rPr>
                <w:webHidden/>
              </w:rPr>
            </w:r>
            <w:r>
              <w:rPr>
                <w:webHidden/>
              </w:rPr>
              <w:fldChar w:fldCharType="separate"/>
            </w:r>
            <w:r>
              <w:rPr>
                <w:webHidden/>
              </w:rPr>
              <w:t>21</w:t>
            </w:r>
            <w:r>
              <w:rPr>
                <w:webHidden/>
              </w:rPr>
              <w:fldChar w:fldCharType="end"/>
            </w:r>
          </w:hyperlink>
        </w:p>
        <w:p w14:paraId="7CC87C83" w14:textId="3F642D93" w:rsidR="0093590B" w:rsidRDefault="0093590B">
          <w:pPr>
            <w:pStyle w:val="TOC1"/>
            <w:rPr>
              <w:b w:val="0"/>
              <w:bCs w:val="0"/>
              <w:kern w:val="2"/>
              <w:sz w:val="24"/>
              <w:szCs w:val="24"/>
              <w:lang w:eastAsia="en-AU"/>
              <w14:ligatures w14:val="standardContextual"/>
            </w:rPr>
          </w:pPr>
          <w:hyperlink w:anchor="_Toc221540325" w:history="1">
            <w:r w:rsidRPr="00882F0C">
              <w:rPr>
                <w:rStyle w:val="Hyperlink"/>
              </w:rPr>
              <w:t>6.</w:t>
            </w:r>
            <w:r>
              <w:rPr>
                <w:b w:val="0"/>
                <w:bCs w:val="0"/>
                <w:kern w:val="2"/>
                <w:sz w:val="24"/>
                <w:szCs w:val="24"/>
                <w:lang w:eastAsia="en-AU"/>
                <w14:ligatures w14:val="standardContextual"/>
              </w:rPr>
              <w:tab/>
            </w:r>
            <w:r w:rsidRPr="00882F0C">
              <w:rPr>
                <w:rStyle w:val="Hyperlink"/>
              </w:rPr>
              <w:t>Next steps</w:t>
            </w:r>
            <w:r>
              <w:rPr>
                <w:webHidden/>
              </w:rPr>
              <w:tab/>
            </w:r>
            <w:r>
              <w:rPr>
                <w:webHidden/>
              </w:rPr>
              <w:fldChar w:fldCharType="begin"/>
            </w:r>
            <w:r>
              <w:rPr>
                <w:webHidden/>
              </w:rPr>
              <w:instrText xml:space="preserve"> PAGEREF _Toc221540325 \h </w:instrText>
            </w:r>
            <w:r>
              <w:rPr>
                <w:webHidden/>
              </w:rPr>
            </w:r>
            <w:r>
              <w:rPr>
                <w:webHidden/>
              </w:rPr>
              <w:fldChar w:fldCharType="separate"/>
            </w:r>
            <w:r>
              <w:rPr>
                <w:webHidden/>
              </w:rPr>
              <w:t>22</w:t>
            </w:r>
            <w:r>
              <w:rPr>
                <w:webHidden/>
              </w:rPr>
              <w:fldChar w:fldCharType="end"/>
            </w:r>
          </w:hyperlink>
        </w:p>
        <w:p w14:paraId="325DA554" w14:textId="715E95D3" w:rsidR="0093590B" w:rsidRDefault="0093590B">
          <w:pPr>
            <w:pStyle w:val="TOC1"/>
            <w:rPr>
              <w:b w:val="0"/>
              <w:bCs w:val="0"/>
              <w:kern w:val="2"/>
              <w:sz w:val="24"/>
              <w:szCs w:val="24"/>
              <w:lang w:eastAsia="en-AU"/>
              <w14:ligatures w14:val="standardContextual"/>
            </w:rPr>
          </w:pPr>
          <w:hyperlink w:anchor="_Toc221540326" w:history="1">
            <w:r w:rsidRPr="00882F0C">
              <w:rPr>
                <w:rStyle w:val="Hyperlink"/>
              </w:rPr>
              <w:t>APPENDIX A – Key definitions</w:t>
            </w:r>
            <w:r>
              <w:rPr>
                <w:webHidden/>
              </w:rPr>
              <w:tab/>
            </w:r>
            <w:r>
              <w:rPr>
                <w:webHidden/>
              </w:rPr>
              <w:fldChar w:fldCharType="begin"/>
            </w:r>
            <w:r>
              <w:rPr>
                <w:webHidden/>
              </w:rPr>
              <w:instrText xml:space="preserve"> PAGEREF _Toc221540326 \h </w:instrText>
            </w:r>
            <w:r>
              <w:rPr>
                <w:webHidden/>
              </w:rPr>
            </w:r>
            <w:r>
              <w:rPr>
                <w:webHidden/>
              </w:rPr>
              <w:fldChar w:fldCharType="separate"/>
            </w:r>
            <w:r>
              <w:rPr>
                <w:webHidden/>
              </w:rPr>
              <w:t>23</w:t>
            </w:r>
            <w:r>
              <w:rPr>
                <w:webHidden/>
              </w:rPr>
              <w:fldChar w:fldCharType="end"/>
            </w:r>
          </w:hyperlink>
        </w:p>
        <w:p w14:paraId="4D9C452E" w14:textId="183B5E64" w:rsidR="0093590B" w:rsidRDefault="0093590B">
          <w:pPr>
            <w:pStyle w:val="TOC1"/>
            <w:rPr>
              <w:b w:val="0"/>
              <w:bCs w:val="0"/>
              <w:kern w:val="2"/>
              <w:sz w:val="24"/>
              <w:szCs w:val="24"/>
              <w:lang w:eastAsia="en-AU"/>
              <w14:ligatures w14:val="standardContextual"/>
            </w:rPr>
          </w:pPr>
          <w:hyperlink w:anchor="_Toc221540327" w:history="1">
            <w:r w:rsidRPr="00882F0C">
              <w:rPr>
                <w:rStyle w:val="Hyperlink"/>
              </w:rPr>
              <w:t>APPENDIX B – High risk work under the model WHS laws</w:t>
            </w:r>
            <w:r>
              <w:rPr>
                <w:webHidden/>
              </w:rPr>
              <w:tab/>
            </w:r>
            <w:r>
              <w:rPr>
                <w:webHidden/>
              </w:rPr>
              <w:fldChar w:fldCharType="begin"/>
            </w:r>
            <w:r>
              <w:rPr>
                <w:webHidden/>
              </w:rPr>
              <w:instrText xml:space="preserve"> PAGEREF _Toc221540327 \h </w:instrText>
            </w:r>
            <w:r>
              <w:rPr>
                <w:webHidden/>
              </w:rPr>
            </w:r>
            <w:r>
              <w:rPr>
                <w:webHidden/>
              </w:rPr>
              <w:fldChar w:fldCharType="separate"/>
            </w:r>
            <w:r>
              <w:rPr>
                <w:webHidden/>
              </w:rPr>
              <w:t>26</w:t>
            </w:r>
            <w:r>
              <w:rPr>
                <w:webHidden/>
              </w:rPr>
              <w:fldChar w:fldCharType="end"/>
            </w:r>
          </w:hyperlink>
        </w:p>
        <w:p w14:paraId="7F16E25A" w14:textId="0D56B017" w:rsidR="0093590B" w:rsidRDefault="0093590B">
          <w:pPr>
            <w:pStyle w:val="TOC1"/>
            <w:rPr>
              <w:b w:val="0"/>
              <w:bCs w:val="0"/>
              <w:kern w:val="2"/>
              <w:sz w:val="24"/>
              <w:szCs w:val="24"/>
              <w:lang w:eastAsia="en-AU"/>
              <w14:ligatures w14:val="standardContextual"/>
            </w:rPr>
          </w:pPr>
          <w:hyperlink w:anchor="_Toc221540328" w:history="1">
            <w:r w:rsidRPr="00882F0C">
              <w:rPr>
                <w:rStyle w:val="Hyperlink"/>
              </w:rPr>
              <w:t>APPENDIX C – Full list of discussion questions</w:t>
            </w:r>
            <w:r>
              <w:rPr>
                <w:webHidden/>
              </w:rPr>
              <w:tab/>
            </w:r>
            <w:r>
              <w:rPr>
                <w:webHidden/>
              </w:rPr>
              <w:fldChar w:fldCharType="begin"/>
            </w:r>
            <w:r>
              <w:rPr>
                <w:webHidden/>
              </w:rPr>
              <w:instrText xml:space="preserve"> PAGEREF _Toc221540328 \h </w:instrText>
            </w:r>
            <w:r>
              <w:rPr>
                <w:webHidden/>
              </w:rPr>
            </w:r>
            <w:r>
              <w:rPr>
                <w:webHidden/>
              </w:rPr>
              <w:fldChar w:fldCharType="separate"/>
            </w:r>
            <w:r>
              <w:rPr>
                <w:webHidden/>
              </w:rPr>
              <w:t>29</w:t>
            </w:r>
            <w:r>
              <w:rPr>
                <w:webHidden/>
              </w:rPr>
              <w:fldChar w:fldCharType="end"/>
            </w:r>
          </w:hyperlink>
        </w:p>
        <w:p w14:paraId="343E4E25" w14:textId="2BF6A56F" w:rsidR="00E95912" w:rsidRPr="00BF77F4" w:rsidRDefault="0065336A" w:rsidP="00BF77F4">
          <w:pPr>
            <w:pStyle w:val="TOC1"/>
            <w:rPr>
              <w:b w:val="0"/>
              <w:bCs w:val="0"/>
              <w:kern w:val="2"/>
              <w:sz w:val="24"/>
              <w:szCs w:val="24"/>
              <w:lang w:eastAsia="en-AU"/>
              <w14:ligatures w14:val="standardContextual"/>
            </w:rPr>
          </w:pPr>
          <w:r>
            <w:rPr>
              <w:b w:val="0"/>
              <w:bCs w:val="0"/>
            </w:rPr>
            <w:fldChar w:fldCharType="end"/>
          </w:r>
        </w:p>
        <w:bookmarkEnd w:id="5" w:displacedByCustomXml="next"/>
        <w:bookmarkEnd w:id="6" w:displacedByCustomXml="next"/>
        <w:bookmarkEnd w:id="7" w:displacedByCustomXml="next"/>
      </w:sdtContent>
    </w:sdt>
    <w:p w14:paraId="5548B9DB" w14:textId="77777777" w:rsidR="00AF4C71" w:rsidRPr="00A9399B" w:rsidRDefault="00AF4C71">
      <w:pPr>
        <w:spacing w:after="160" w:line="259" w:lineRule="auto"/>
        <w:rPr>
          <w:rFonts w:ascii="Arial Bold" w:eastAsiaTheme="majorEastAsia" w:hAnsi="Arial Bold" w:cs="Arial"/>
          <w:b/>
          <w:noProof/>
          <w:color w:val="2B0A99" w:themeColor="text2"/>
          <w:kern w:val="32"/>
          <w:sz w:val="32"/>
          <w:szCs w:val="22"/>
        </w:rPr>
      </w:pPr>
      <w:r w:rsidRPr="00A9399B">
        <w:br w:type="page"/>
      </w:r>
    </w:p>
    <w:p w14:paraId="103BF93C" w14:textId="4C32F667" w:rsidR="00F26475" w:rsidRPr="00E27E1F" w:rsidRDefault="00B67B6C" w:rsidP="00CC29B5">
      <w:pPr>
        <w:pStyle w:val="SWAHeading1"/>
      </w:pPr>
      <w:bookmarkStart w:id="10" w:name="_Toc203021392"/>
      <w:bookmarkStart w:id="11" w:name="_Toc221540304"/>
      <w:bookmarkStart w:id="12" w:name="_Hlk157615683"/>
      <w:r>
        <w:lastRenderedPageBreak/>
        <w:t>Introduction</w:t>
      </w:r>
      <w:r w:rsidR="00732915">
        <w:t xml:space="preserve"> and </w:t>
      </w:r>
      <w:r w:rsidR="002A56C7">
        <w:t>background</w:t>
      </w:r>
      <w:bookmarkEnd w:id="10"/>
      <w:bookmarkEnd w:id="11"/>
    </w:p>
    <w:bookmarkEnd w:id="12"/>
    <w:p w14:paraId="5F9F5B83" w14:textId="6F1DF4CF" w:rsidR="00062035" w:rsidRPr="00A62554" w:rsidRDefault="00441BD9" w:rsidP="00477818">
      <w:pPr>
        <w:rPr>
          <w:rFonts w:cstheme="minorHAnsi"/>
          <w:sz w:val="22"/>
          <w:szCs w:val="22"/>
        </w:rPr>
      </w:pPr>
      <w:r w:rsidRPr="00A62554">
        <w:rPr>
          <w:rFonts w:cstheme="minorHAnsi"/>
          <w:sz w:val="22"/>
          <w:szCs w:val="22"/>
        </w:rPr>
        <w:t>In 2021, on recommendation of the independent reviewer of the model WHS laws Ms Marie Boland, ministers with responsibility for work health and safety (WHS) asked Safe Work Australia to review the high risk work (HRW) licence framework for cranes to ensure it remains relevant to contemporary work practices and equipment.</w:t>
      </w:r>
    </w:p>
    <w:p w14:paraId="25EE2CD3" w14:textId="77777777" w:rsidR="008E029A" w:rsidRPr="00C53276" w:rsidRDefault="008E029A" w:rsidP="00EF4DD5">
      <w:pPr>
        <w:pStyle w:val="Heading2"/>
        <w:spacing w:before="240" w:after="60"/>
        <w:rPr>
          <w:rFonts w:asciiTheme="minorHAnsi" w:eastAsiaTheme="minorHAnsi" w:hAnsiTheme="minorHAnsi" w:cstheme="minorHAnsi"/>
          <w:b/>
          <w:iCs/>
          <w:color w:val="6E2F9D"/>
          <w:sz w:val="24"/>
          <w:szCs w:val="24"/>
        </w:rPr>
      </w:pPr>
      <w:bookmarkStart w:id="13" w:name="_Toc166574358"/>
      <w:bookmarkStart w:id="14" w:name="_Toc203021393"/>
      <w:bookmarkStart w:id="15" w:name="_Toc221540305"/>
      <w:r w:rsidRPr="00C53276">
        <w:rPr>
          <w:rFonts w:asciiTheme="minorHAnsi" w:eastAsiaTheme="minorHAnsi" w:hAnsiTheme="minorHAnsi" w:cstheme="minorHAnsi"/>
          <w:b/>
          <w:color w:val="6E2F9D"/>
          <w:sz w:val="24"/>
          <w:szCs w:val="24"/>
        </w:rPr>
        <w:t>Initial public consultation and changes to encompassment and dogging</w:t>
      </w:r>
      <w:bookmarkEnd w:id="13"/>
      <w:bookmarkEnd w:id="14"/>
      <w:bookmarkEnd w:id="15"/>
    </w:p>
    <w:p w14:paraId="2B29FDCB" w14:textId="77777777" w:rsidR="00463610" w:rsidRDefault="008D158C" w:rsidP="00477818">
      <w:pPr>
        <w:rPr>
          <w:rFonts w:cstheme="minorHAnsi"/>
          <w:sz w:val="22"/>
          <w:szCs w:val="22"/>
        </w:rPr>
      </w:pPr>
      <w:r w:rsidRPr="00A62554">
        <w:rPr>
          <w:rFonts w:cstheme="minorHAnsi"/>
          <w:sz w:val="22"/>
          <w:szCs w:val="22"/>
        </w:rPr>
        <w:t xml:space="preserve">Between May and June 2022, Safe Work Australia </w:t>
      </w:r>
      <w:r w:rsidR="00A05CA2">
        <w:rPr>
          <w:rFonts w:cstheme="minorHAnsi"/>
          <w:sz w:val="22"/>
          <w:szCs w:val="22"/>
        </w:rPr>
        <w:t xml:space="preserve">(the Agency) </w:t>
      </w:r>
      <w:r w:rsidR="00832163">
        <w:rPr>
          <w:rFonts w:cstheme="minorHAnsi"/>
          <w:sz w:val="22"/>
          <w:szCs w:val="22"/>
        </w:rPr>
        <w:t>undertook</w:t>
      </w:r>
      <w:r w:rsidRPr="00A62554">
        <w:rPr>
          <w:rFonts w:cstheme="minorHAnsi"/>
          <w:sz w:val="22"/>
          <w:szCs w:val="22"/>
        </w:rPr>
        <w:t xml:space="preserve"> public consultation seeking evidence of problems with crane licensing and asking for views on potential solutions to those problems. </w:t>
      </w:r>
    </w:p>
    <w:p w14:paraId="66815434" w14:textId="31B295CF" w:rsidR="00441BD9" w:rsidRPr="00A62554" w:rsidRDefault="008D158C" w:rsidP="00477818">
      <w:pPr>
        <w:rPr>
          <w:rFonts w:cstheme="minorHAnsi"/>
          <w:sz w:val="22"/>
          <w:szCs w:val="22"/>
        </w:rPr>
      </w:pPr>
      <w:r w:rsidRPr="00A62554">
        <w:rPr>
          <w:rFonts w:cstheme="minorHAnsi"/>
          <w:sz w:val="22"/>
          <w:szCs w:val="22"/>
        </w:rPr>
        <w:t>The discussion paper focused on perceived issues with the model WHS laws that may have a significant impact on workers and workplaces that use cranes, including concerns related to crane definitions, licence classes, and descriptions of HRW using cranes and how these might be best addressed</w:t>
      </w:r>
      <w:r w:rsidR="007069D4" w:rsidRPr="00A62554">
        <w:rPr>
          <w:rFonts w:cstheme="minorHAnsi"/>
          <w:sz w:val="22"/>
          <w:szCs w:val="22"/>
        </w:rPr>
        <w:t>.</w:t>
      </w:r>
    </w:p>
    <w:p w14:paraId="18F32E30" w14:textId="02D25EC2" w:rsidR="00B257B2" w:rsidRPr="00A62554" w:rsidRDefault="00B65796" w:rsidP="00477818">
      <w:pPr>
        <w:rPr>
          <w:rFonts w:cstheme="minorHAnsi"/>
          <w:sz w:val="22"/>
          <w:szCs w:val="22"/>
        </w:rPr>
      </w:pPr>
      <w:r w:rsidRPr="00A62554">
        <w:rPr>
          <w:rFonts w:cstheme="minorHAnsi"/>
          <w:sz w:val="22"/>
          <w:szCs w:val="22"/>
        </w:rPr>
        <w:t>Safe Work Australia Members</w:t>
      </w:r>
      <w:r w:rsidR="00463610">
        <w:rPr>
          <w:rFonts w:cstheme="minorHAnsi"/>
          <w:sz w:val="22"/>
          <w:szCs w:val="22"/>
        </w:rPr>
        <w:t xml:space="preserve"> (Members)</w:t>
      </w:r>
      <w:r w:rsidRPr="00A62554">
        <w:rPr>
          <w:rFonts w:cstheme="minorHAnsi"/>
          <w:sz w:val="22"/>
          <w:szCs w:val="22"/>
        </w:rPr>
        <w:t xml:space="preserve"> subsequently considered the findings of the public consultation in September 2023. Based on broad support from stakeholders, they agreed to prioritise work on two key issues where feedback had indicated immediate action was needed: the removal of crane licence encompassment</w:t>
      </w:r>
      <w:r w:rsidR="00345301">
        <w:rPr>
          <w:rFonts w:cstheme="minorHAnsi"/>
          <w:sz w:val="22"/>
          <w:szCs w:val="22"/>
        </w:rPr>
        <w:t xml:space="preserve"> </w:t>
      </w:r>
      <w:r w:rsidR="00345301" w:rsidRPr="000D4D97">
        <w:rPr>
          <w:rFonts w:cstheme="minorHAnsi"/>
          <w:sz w:val="22"/>
          <w:szCs w:val="24"/>
        </w:rPr>
        <w:t xml:space="preserve">of </w:t>
      </w:r>
      <w:r w:rsidR="00345301" w:rsidRPr="000D4D97">
        <w:rPr>
          <w:sz w:val="22"/>
          <w:szCs w:val="22"/>
        </w:rPr>
        <w:t>non-slewing mobile cranes, vehicle loading cranes and reach stackers from the slewing mobile crane licence classes</w:t>
      </w:r>
      <w:r w:rsidRPr="00A62554">
        <w:rPr>
          <w:rFonts w:cstheme="minorHAnsi"/>
          <w:sz w:val="22"/>
          <w:szCs w:val="22"/>
        </w:rPr>
        <w:t xml:space="preserve">, and </w:t>
      </w:r>
      <w:r w:rsidR="00345301" w:rsidRPr="00345301">
        <w:rPr>
          <w:rFonts w:cstheme="minorHAnsi"/>
          <w:sz w:val="22"/>
          <w:szCs w:val="22"/>
        </w:rPr>
        <w:t>introduction of a dogging qualification prerequisite for most crane licence classes</w:t>
      </w:r>
      <w:r w:rsidR="00345301">
        <w:rPr>
          <w:rFonts w:cstheme="minorHAnsi"/>
          <w:sz w:val="22"/>
          <w:szCs w:val="22"/>
        </w:rPr>
        <w:t>.</w:t>
      </w:r>
    </w:p>
    <w:p w14:paraId="700F9C48" w14:textId="6B4E1894" w:rsidR="00620982" w:rsidRPr="00E0797F" w:rsidRDefault="00E0797F" w:rsidP="00477818">
      <w:pPr>
        <w:rPr>
          <w:rFonts w:cstheme="minorHAnsi"/>
          <w:sz w:val="22"/>
          <w:szCs w:val="22"/>
        </w:rPr>
      </w:pPr>
      <w:r w:rsidRPr="00E0797F">
        <w:rPr>
          <w:rFonts w:cstheme="minorHAnsi"/>
          <w:sz w:val="22"/>
          <w:szCs w:val="22"/>
        </w:rPr>
        <w:t>The necessary amendments to the model WHS Regulations to progress these changes are underway and have been agreed by the requisite majority of WHS ministers</w:t>
      </w:r>
      <w:r>
        <w:rPr>
          <w:rFonts w:cstheme="minorHAnsi"/>
          <w:sz w:val="22"/>
          <w:szCs w:val="22"/>
        </w:rPr>
        <w:t>.</w:t>
      </w:r>
    </w:p>
    <w:p w14:paraId="5DEC2462" w14:textId="77777777" w:rsidR="00034547" w:rsidRPr="00C53276" w:rsidRDefault="00034547" w:rsidP="00EF4DD5">
      <w:pPr>
        <w:pStyle w:val="Heading2"/>
        <w:spacing w:before="240" w:after="60"/>
        <w:rPr>
          <w:rFonts w:asciiTheme="minorHAnsi" w:eastAsiaTheme="minorHAnsi" w:hAnsiTheme="minorHAnsi" w:cstheme="minorHAnsi"/>
          <w:b/>
          <w:iCs/>
          <w:color w:val="6E2F9D"/>
          <w:sz w:val="24"/>
          <w:szCs w:val="24"/>
        </w:rPr>
      </w:pPr>
      <w:bookmarkStart w:id="16" w:name="_Toc166574359"/>
      <w:bookmarkStart w:id="17" w:name="_Toc203021394"/>
      <w:bookmarkStart w:id="18" w:name="_Toc221540306"/>
      <w:r w:rsidRPr="00C53276">
        <w:rPr>
          <w:rFonts w:asciiTheme="minorHAnsi" w:eastAsiaTheme="minorHAnsi" w:hAnsiTheme="minorHAnsi" w:cstheme="minorHAnsi"/>
          <w:b/>
          <w:color w:val="6E2F9D"/>
          <w:sz w:val="24"/>
          <w:szCs w:val="24"/>
        </w:rPr>
        <w:t>Further improvements to crane licensing</w:t>
      </w:r>
      <w:bookmarkEnd w:id="16"/>
      <w:bookmarkEnd w:id="17"/>
      <w:bookmarkEnd w:id="18"/>
    </w:p>
    <w:p w14:paraId="0801AA35" w14:textId="4A25513D" w:rsidR="00345301" w:rsidRDefault="00345301" w:rsidP="00B17FA2">
      <w:pPr>
        <w:rPr>
          <w:rFonts w:cstheme="minorHAnsi"/>
          <w:sz w:val="22"/>
          <w:szCs w:val="22"/>
        </w:rPr>
      </w:pPr>
      <w:r w:rsidRPr="003C5CF7">
        <w:rPr>
          <w:rFonts w:cstheme="minorHAnsi"/>
          <w:sz w:val="22"/>
          <w:szCs w:val="22"/>
        </w:rPr>
        <w:t xml:space="preserve">In 2024, Safe Work Australia </w:t>
      </w:r>
      <w:r w:rsidR="006F5CFF">
        <w:rPr>
          <w:rFonts w:cstheme="minorHAnsi"/>
          <w:sz w:val="22"/>
          <w:szCs w:val="22"/>
        </w:rPr>
        <w:t>(the Agency) undertook</w:t>
      </w:r>
      <w:r w:rsidRPr="003C5CF7">
        <w:rPr>
          <w:rFonts w:cstheme="minorHAnsi"/>
          <w:sz w:val="22"/>
          <w:szCs w:val="22"/>
        </w:rPr>
        <w:t xml:space="preserve"> further public consultation </w:t>
      </w:r>
      <w:r w:rsidR="00E22162">
        <w:rPr>
          <w:rFonts w:cstheme="minorHAnsi"/>
          <w:sz w:val="22"/>
          <w:szCs w:val="22"/>
        </w:rPr>
        <w:t xml:space="preserve">on </w:t>
      </w:r>
      <w:r w:rsidRPr="003C5CF7">
        <w:rPr>
          <w:rFonts w:cstheme="minorHAnsi"/>
          <w:sz w:val="22"/>
          <w:szCs w:val="22"/>
        </w:rPr>
        <w:t>the second phase of improvements to crane licensing. This consultation explored a broader range of issues raised during the initial consultation, including the need to modernise the crane licensing framework in response to technological advancements and evolving industry practices.</w:t>
      </w:r>
    </w:p>
    <w:p w14:paraId="58EC6A7F" w14:textId="461E674E" w:rsidR="003867E7" w:rsidRPr="003867E7" w:rsidRDefault="003867E7" w:rsidP="00B17FA2">
      <w:pPr>
        <w:rPr>
          <w:rFonts w:cstheme="minorHAnsi"/>
          <w:sz w:val="22"/>
          <w:szCs w:val="22"/>
        </w:rPr>
      </w:pPr>
      <w:r w:rsidRPr="003867E7">
        <w:rPr>
          <w:rFonts w:cstheme="minorHAnsi"/>
          <w:sz w:val="22"/>
          <w:szCs w:val="22"/>
        </w:rPr>
        <w:t>A key focus of the 2024 public consultation was exploring views on crane operations within the maritime industry. Stakeholder feedback indicated that cranes were being operated on vessels despite the unique risks posed by ship movement and mari</w:t>
      </w:r>
      <w:r w:rsidR="003548CC">
        <w:rPr>
          <w:rFonts w:cstheme="minorHAnsi"/>
          <w:sz w:val="22"/>
          <w:szCs w:val="22"/>
        </w:rPr>
        <w:t>time</w:t>
      </w:r>
      <w:r w:rsidRPr="003867E7">
        <w:rPr>
          <w:rFonts w:cstheme="minorHAnsi"/>
          <w:sz w:val="22"/>
          <w:szCs w:val="22"/>
        </w:rPr>
        <w:t xml:space="preserve"> environments, and in the absence of specific licensing, training, and risk controls tailored to these conditions.</w:t>
      </w:r>
    </w:p>
    <w:p w14:paraId="557B515C" w14:textId="64DB94D8" w:rsidR="00B17FA2" w:rsidRPr="00B17FA2" w:rsidRDefault="00B17FA2" w:rsidP="003C5CF7">
      <w:pPr>
        <w:spacing w:after="40"/>
        <w:rPr>
          <w:rFonts w:cstheme="minorHAnsi"/>
          <w:sz w:val="22"/>
          <w:szCs w:val="22"/>
        </w:rPr>
      </w:pPr>
      <w:r w:rsidRPr="00B17FA2">
        <w:rPr>
          <w:rFonts w:cstheme="minorHAnsi"/>
          <w:sz w:val="22"/>
          <w:szCs w:val="22"/>
        </w:rPr>
        <w:t xml:space="preserve">Members subsequently considered the findings of the second public consultation in March 2025. Based on stakeholder feedback, </w:t>
      </w:r>
      <w:r w:rsidR="00B72EFA">
        <w:rPr>
          <w:rFonts w:cstheme="minorHAnsi"/>
          <w:sz w:val="22"/>
          <w:szCs w:val="22"/>
        </w:rPr>
        <w:t>Members</w:t>
      </w:r>
      <w:r w:rsidRPr="00B17FA2">
        <w:rPr>
          <w:rFonts w:cstheme="minorHAnsi"/>
          <w:sz w:val="22"/>
          <w:szCs w:val="22"/>
        </w:rPr>
        <w:t xml:space="preserve"> agreed to</w:t>
      </w:r>
      <w:r>
        <w:rPr>
          <w:rFonts w:cstheme="minorHAnsi"/>
          <w:sz w:val="22"/>
          <w:szCs w:val="22"/>
        </w:rPr>
        <w:t>:</w:t>
      </w:r>
    </w:p>
    <w:p w14:paraId="470868D4" w14:textId="3F17ADAC" w:rsidR="00225CE9" w:rsidRPr="002E104E" w:rsidRDefault="00225CE9" w:rsidP="00082B8D">
      <w:pPr>
        <w:pStyle w:val="ListParagraph"/>
        <w:numPr>
          <w:ilvl w:val="0"/>
          <w:numId w:val="16"/>
        </w:numPr>
        <w:spacing w:after="60"/>
        <w:ind w:left="284" w:hanging="284"/>
        <w:contextualSpacing w:val="0"/>
        <w:rPr>
          <w:rFonts w:cstheme="minorHAnsi"/>
          <w:sz w:val="22"/>
          <w:szCs w:val="22"/>
        </w:rPr>
      </w:pPr>
      <w:r w:rsidRPr="002E104E">
        <w:rPr>
          <w:sz w:val="22"/>
          <w:szCs w:val="22"/>
        </w:rPr>
        <w:t xml:space="preserve">make minor amendments to the model WHS Regulations to clarify that cranes operated on a vessel require the same </w:t>
      </w:r>
      <w:r w:rsidR="009243F6">
        <w:rPr>
          <w:sz w:val="22"/>
          <w:szCs w:val="22"/>
        </w:rPr>
        <w:t>HRW</w:t>
      </w:r>
      <w:r w:rsidRPr="002E104E">
        <w:rPr>
          <w:sz w:val="22"/>
          <w:szCs w:val="22"/>
        </w:rPr>
        <w:t xml:space="preserve"> licence as they would when operated on land, and</w:t>
      </w:r>
    </w:p>
    <w:p w14:paraId="28AA67C1" w14:textId="28EF0BB1" w:rsidR="00225CE9" w:rsidRPr="00B17FA2" w:rsidRDefault="00225CE9" w:rsidP="00082B8D">
      <w:pPr>
        <w:pStyle w:val="ListParagraph"/>
        <w:numPr>
          <w:ilvl w:val="0"/>
          <w:numId w:val="16"/>
        </w:numPr>
        <w:ind w:left="284" w:hanging="284"/>
        <w:contextualSpacing w:val="0"/>
        <w:rPr>
          <w:rFonts w:cstheme="minorHAnsi"/>
          <w:sz w:val="22"/>
          <w:szCs w:val="22"/>
        </w:rPr>
      </w:pPr>
      <w:r w:rsidRPr="002E104E">
        <w:rPr>
          <w:sz w:val="22"/>
          <w:szCs w:val="22"/>
        </w:rPr>
        <w:t xml:space="preserve">consider the introduction of an industry-specific licence for crane operation in the maritime industry, through development of, and consultation on </w:t>
      </w:r>
      <w:r w:rsidR="00747234">
        <w:rPr>
          <w:sz w:val="22"/>
          <w:szCs w:val="22"/>
        </w:rPr>
        <w:t>a discussion</w:t>
      </w:r>
      <w:r w:rsidR="00747234" w:rsidRPr="002E104E">
        <w:rPr>
          <w:sz w:val="22"/>
          <w:szCs w:val="22"/>
        </w:rPr>
        <w:t xml:space="preserve"> </w:t>
      </w:r>
      <w:r w:rsidRPr="002E104E">
        <w:rPr>
          <w:sz w:val="22"/>
          <w:szCs w:val="22"/>
        </w:rPr>
        <w:t>paper</w:t>
      </w:r>
      <w:r w:rsidR="00594166">
        <w:rPr>
          <w:sz w:val="22"/>
          <w:szCs w:val="22"/>
        </w:rPr>
        <w:t xml:space="preserve"> (this paper)</w:t>
      </w:r>
      <w:r w:rsidRPr="002E104E">
        <w:rPr>
          <w:sz w:val="22"/>
          <w:szCs w:val="22"/>
        </w:rPr>
        <w:t>.</w:t>
      </w:r>
    </w:p>
    <w:p w14:paraId="14E2FB37" w14:textId="766A57B5" w:rsidR="00B17FA2" w:rsidRPr="003173A0" w:rsidRDefault="00B17FA2" w:rsidP="003173A0">
      <w:pPr>
        <w:rPr>
          <w:rFonts w:cstheme="minorHAnsi"/>
          <w:sz w:val="22"/>
          <w:szCs w:val="22"/>
        </w:rPr>
      </w:pPr>
      <w:r w:rsidRPr="008D7306">
        <w:rPr>
          <w:rFonts w:cstheme="minorHAnsi"/>
          <w:sz w:val="22"/>
          <w:szCs w:val="22"/>
        </w:rPr>
        <w:t>These decisions form part of a broader set of proposed reforms to the crane licensing framework, such as new crane licences, increased training requirements for trainee crane operators, the removal of crane licence capacity thresholds, and a range of other changes to existing HRW licences.</w:t>
      </w:r>
    </w:p>
    <w:p w14:paraId="43BC6D76" w14:textId="77777777" w:rsidR="0092306A" w:rsidRPr="00C53276" w:rsidRDefault="0092306A" w:rsidP="0092306A">
      <w:pPr>
        <w:pStyle w:val="Heading2"/>
        <w:spacing w:before="240" w:after="60"/>
        <w:rPr>
          <w:rFonts w:asciiTheme="minorHAnsi" w:eastAsiaTheme="minorHAnsi" w:hAnsiTheme="minorHAnsi" w:cstheme="minorHAnsi"/>
          <w:b/>
          <w:iCs/>
          <w:color w:val="6E2F9D"/>
          <w:sz w:val="24"/>
          <w:szCs w:val="24"/>
        </w:rPr>
      </w:pPr>
      <w:bookmarkStart w:id="19" w:name="_Toc203021396"/>
      <w:bookmarkStart w:id="20" w:name="_Toc221540307"/>
      <w:r w:rsidRPr="00C53276">
        <w:rPr>
          <w:rFonts w:asciiTheme="minorHAnsi" w:eastAsiaTheme="minorHAnsi" w:hAnsiTheme="minorHAnsi" w:cstheme="minorHAnsi"/>
          <w:b/>
          <w:color w:val="6E2F9D"/>
          <w:sz w:val="24"/>
          <w:szCs w:val="24"/>
        </w:rPr>
        <w:lastRenderedPageBreak/>
        <w:t>Maritime crane survey</w:t>
      </w:r>
      <w:bookmarkEnd w:id="19"/>
      <w:bookmarkEnd w:id="20"/>
    </w:p>
    <w:p w14:paraId="68DF9E8C" w14:textId="528AE606" w:rsidR="00867077" w:rsidRPr="00867077" w:rsidRDefault="00FE1B2D" w:rsidP="00867077">
      <w:pPr>
        <w:rPr>
          <w:rFonts w:cstheme="minorHAnsi"/>
          <w:sz w:val="22"/>
          <w:szCs w:val="22"/>
        </w:rPr>
      </w:pPr>
      <w:r w:rsidRPr="00FE1B2D">
        <w:rPr>
          <w:rFonts w:cstheme="minorHAnsi"/>
          <w:sz w:val="22"/>
          <w:szCs w:val="22"/>
        </w:rPr>
        <w:t xml:space="preserve">As part of its ongoing review of crane licensing under the model WHS laws, </w:t>
      </w:r>
      <w:r w:rsidR="00867077" w:rsidRPr="00867077">
        <w:rPr>
          <w:rFonts w:cstheme="minorHAnsi"/>
          <w:sz w:val="22"/>
          <w:szCs w:val="22"/>
        </w:rPr>
        <w:t xml:space="preserve">the Agency commissioned a technical expert to undertake a comprehensive maritime crane survey. This work was initiated to build an evidence base on crane types used in maritime workplaces and to better understand how existing high risk work (HRW) licensing requirements apply across a diverse range of crane designs and operational environments. </w:t>
      </w:r>
      <w:r w:rsidR="000E2B61">
        <w:rPr>
          <w:rFonts w:cstheme="minorHAnsi"/>
          <w:sz w:val="22"/>
          <w:szCs w:val="22"/>
        </w:rPr>
        <w:t>This survey was prompted by f</w:t>
      </w:r>
      <w:r w:rsidR="00867077" w:rsidRPr="00867077">
        <w:rPr>
          <w:rFonts w:cstheme="minorHAnsi"/>
          <w:sz w:val="22"/>
          <w:szCs w:val="22"/>
        </w:rPr>
        <w:t>eedback received through the 2022 consultation process</w:t>
      </w:r>
      <w:r w:rsidR="000E2B61">
        <w:rPr>
          <w:rFonts w:cstheme="minorHAnsi"/>
          <w:sz w:val="22"/>
          <w:szCs w:val="22"/>
        </w:rPr>
        <w:t xml:space="preserve"> which</w:t>
      </w:r>
      <w:r w:rsidR="00867077" w:rsidRPr="00867077">
        <w:rPr>
          <w:rFonts w:cstheme="minorHAnsi"/>
          <w:sz w:val="22"/>
          <w:szCs w:val="22"/>
        </w:rPr>
        <w:t xml:space="preserve"> indicated that some stakeholders were uncertain about how licensing requirements applied to specific vessel</w:t>
      </w:r>
      <w:r w:rsidR="00867077" w:rsidRPr="00867077">
        <w:rPr>
          <w:rFonts w:cstheme="minorHAnsi"/>
          <w:sz w:val="22"/>
          <w:szCs w:val="22"/>
        </w:rPr>
        <w:noBreakHyphen/>
        <w:t xml:space="preserve">mounted or specialised </w:t>
      </w:r>
      <w:r w:rsidR="00385897">
        <w:rPr>
          <w:rFonts w:cstheme="minorHAnsi"/>
          <w:sz w:val="22"/>
          <w:szCs w:val="22"/>
        </w:rPr>
        <w:t xml:space="preserve">portside </w:t>
      </w:r>
      <w:r w:rsidR="00867077" w:rsidRPr="00867077">
        <w:rPr>
          <w:rFonts w:cstheme="minorHAnsi"/>
          <w:sz w:val="22"/>
          <w:szCs w:val="22"/>
        </w:rPr>
        <w:t>cranes.</w:t>
      </w:r>
    </w:p>
    <w:p w14:paraId="3DE5C948" w14:textId="77777777" w:rsidR="00D373F8" w:rsidRPr="00D373F8" w:rsidRDefault="00D373F8" w:rsidP="00D373F8">
      <w:pPr>
        <w:rPr>
          <w:rFonts w:cstheme="minorHAnsi"/>
          <w:sz w:val="22"/>
          <w:szCs w:val="22"/>
        </w:rPr>
      </w:pPr>
      <w:r w:rsidRPr="00D373F8">
        <w:rPr>
          <w:rFonts w:cstheme="minorHAnsi"/>
          <w:sz w:val="22"/>
          <w:szCs w:val="22"/>
        </w:rPr>
        <w:t>The survey identified a significant number and variety of cranes currently in use across the maritime industry. It highlighted that determining the applicability of HRW licensing can be complex for certain crane types due to differences in design, configuration or operational context—particularly for cranes mounted on vessels or used in specialised portside applications.</w:t>
      </w:r>
    </w:p>
    <w:p w14:paraId="33679B96" w14:textId="77777777" w:rsidR="00D373F8" w:rsidRPr="00D373F8" w:rsidRDefault="00D373F8" w:rsidP="00D373F8">
      <w:pPr>
        <w:rPr>
          <w:rFonts w:cstheme="minorHAnsi"/>
          <w:sz w:val="22"/>
          <w:szCs w:val="22"/>
        </w:rPr>
      </w:pPr>
      <w:r w:rsidRPr="00D373F8">
        <w:rPr>
          <w:rFonts w:cstheme="minorHAnsi"/>
          <w:sz w:val="22"/>
          <w:szCs w:val="22"/>
        </w:rPr>
        <w:t>To support a clearer understanding of crane types and usage patterns in maritime settings, the survey also sought to:</w:t>
      </w:r>
    </w:p>
    <w:p w14:paraId="7CB33B13" w14:textId="7D039EBA" w:rsidR="00FE1B2D" w:rsidRPr="00FE1B2D" w:rsidRDefault="00FE1B2D" w:rsidP="00082B8D">
      <w:pPr>
        <w:numPr>
          <w:ilvl w:val="0"/>
          <w:numId w:val="24"/>
        </w:numPr>
        <w:tabs>
          <w:tab w:val="clear" w:pos="720"/>
          <w:tab w:val="num" w:pos="284"/>
        </w:tabs>
        <w:ind w:left="284" w:hanging="284"/>
        <w:rPr>
          <w:rFonts w:cstheme="minorHAnsi"/>
          <w:sz w:val="22"/>
          <w:szCs w:val="22"/>
        </w:rPr>
      </w:pPr>
      <w:r w:rsidRPr="00FE1B2D">
        <w:rPr>
          <w:rFonts w:cstheme="minorHAnsi"/>
          <w:sz w:val="22"/>
          <w:szCs w:val="22"/>
        </w:rPr>
        <w:t>identify the</w:t>
      </w:r>
      <w:r w:rsidR="00A440B2">
        <w:rPr>
          <w:rFonts w:cstheme="minorHAnsi"/>
          <w:sz w:val="22"/>
          <w:szCs w:val="22"/>
        </w:rPr>
        <w:t xml:space="preserve"> </w:t>
      </w:r>
      <w:r w:rsidRPr="001E3A09">
        <w:rPr>
          <w:rFonts w:cstheme="minorHAnsi"/>
          <w:sz w:val="22"/>
          <w:szCs w:val="22"/>
        </w:rPr>
        <w:t>types and approximate number of cranes</w:t>
      </w:r>
      <w:r w:rsidR="00A440B2">
        <w:rPr>
          <w:rFonts w:cstheme="minorHAnsi"/>
          <w:b/>
          <w:bCs/>
          <w:sz w:val="22"/>
          <w:szCs w:val="22"/>
        </w:rPr>
        <w:t xml:space="preserve"> </w:t>
      </w:r>
      <w:r w:rsidRPr="00FE1B2D">
        <w:rPr>
          <w:rFonts w:cstheme="minorHAnsi"/>
          <w:sz w:val="22"/>
          <w:szCs w:val="22"/>
        </w:rPr>
        <w:t>in use, including both</w:t>
      </w:r>
      <w:r w:rsidR="00A440B2">
        <w:rPr>
          <w:rFonts w:cstheme="minorHAnsi"/>
          <w:sz w:val="22"/>
          <w:szCs w:val="22"/>
        </w:rPr>
        <w:t xml:space="preserve"> </w:t>
      </w:r>
      <w:r w:rsidRPr="001E3A09">
        <w:rPr>
          <w:rFonts w:cstheme="minorHAnsi"/>
          <w:sz w:val="22"/>
          <w:szCs w:val="22"/>
        </w:rPr>
        <w:t>portside cranes</w:t>
      </w:r>
      <w:r w:rsidR="00A440B2" w:rsidRPr="001E3A09">
        <w:rPr>
          <w:rFonts w:cstheme="minorHAnsi"/>
          <w:sz w:val="22"/>
          <w:szCs w:val="22"/>
        </w:rPr>
        <w:t xml:space="preserve"> </w:t>
      </w:r>
      <w:r w:rsidRPr="00FE1B2D">
        <w:rPr>
          <w:rFonts w:cstheme="minorHAnsi"/>
          <w:sz w:val="22"/>
          <w:szCs w:val="22"/>
        </w:rPr>
        <w:t>(e.g. container gantry cranes, mobile harbour cranes) and</w:t>
      </w:r>
      <w:r w:rsidR="00A440B2">
        <w:rPr>
          <w:rFonts w:cstheme="minorHAnsi"/>
          <w:sz w:val="22"/>
          <w:szCs w:val="22"/>
        </w:rPr>
        <w:t xml:space="preserve"> </w:t>
      </w:r>
      <w:r w:rsidRPr="001E3A09">
        <w:rPr>
          <w:rFonts w:cstheme="minorHAnsi"/>
          <w:sz w:val="22"/>
          <w:szCs w:val="22"/>
        </w:rPr>
        <w:t>shipboard cranes</w:t>
      </w:r>
      <w:r w:rsidR="00A440B2">
        <w:rPr>
          <w:rFonts w:cstheme="minorHAnsi"/>
          <w:b/>
          <w:bCs/>
          <w:sz w:val="22"/>
          <w:szCs w:val="22"/>
        </w:rPr>
        <w:t xml:space="preserve"> </w:t>
      </w:r>
      <w:r w:rsidRPr="00FE1B2D">
        <w:rPr>
          <w:rFonts w:cstheme="minorHAnsi"/>
          <w:sz w:val="22"/>
          <w:szCs w:val="22"/>
        </w:rPr>
        <w:t>(e.g. deck cranes, knuckle boom cranes), and</w:t>
      </w:r>
    </w:p>
    <w:p w14:paraId="02EE548C" w14:textId="202CF901" w:rsidR="00FE1B2D" w:rsidRPr="00FE1B2D" w:rsidRDefault="00FE1B2D" w:rsidP="00082B8D">
      <w:pPr>
        <w:numPr>
          <w:ilvl w:val="0"/>
          <w:numId w:val="24"/>
        </w:numPr>
        <w:tabs>
          <w:tab w:val="clear" w:pos="720"/>
          <w:tab w:val="num" w:pos="284"/>
        </w:tabs>
        <w:ind w:left="284" w:hanging="284"/>
        <w:rPr>
          <w:rFonts w:cstheme="minorHAnsi"/>
          <w:sz w:val="22"/>
          <w:szCs w:val="22"/>
        </w:rPr>
      </w:pPr>
      <w:r w:rsidRPr="00FE1B2D">
        <w:rPr>
          <w:rFonts w:cstheme="minorHAnsi"/>
          <w:sz w:val="22"/>
          <w:szCs w:val="22"/>
        </w:rPr>
        <w:t>assess the</w:t>
      </w:r>
      <w:r w:rsidR="00A440B2">
        <w:rPr>
          <w:rFonts w:cstheme="minorHAnsi"/>
          <w:sz w:val="22"/>
          <w:szCs w:val="22"/>
        </w:rPr>
        <w:t xml:space="preserve"> </w:t>
      </w:r>
      <w:r w:rsidRPr="001E3A09">
        <w:rPr>
          <w:rFonts w:cstheme="minorHAnsi"/>
          <w:sz w:val="22"/>
          <w:szCs w:val="22"/>
        </w:rPr>
        <w:t>extent to which these cranes are covered</w:t>
      </w:r>
      <w:r w:rsidR="00A440B2">
        <w:rPr>
          <w:rFonts w:cstheme="minorHAnsi"/>
          <w:b/>
          <w:bCs/>
          <w:sz w:val="22"/>
          <w:szCs w:val="22"/>
        </w:rPr>
        <w:t xml:space="preserve"> </w:t>
      </w:r>
      <w:r w:rsidRPr="00FE1B2D">
        <w:rPr>
          <w:rFonts w:cstheme="minorHAnsi"/>
          <w:sz w:val="22"/>
          <w:szCs w:val="22"/>
        </w:rPr>
        <w:t>under the current HRW licensing framework, including identifying crane types that may fall outside the scope of existing licence classes.</w:t>
      </w:r>
    </w:p>
    <w:p w14:paraId="668F2FBD" w14:textId="5A7FC1E5" w:rsidR="00643C1E" w:rsidRDefault="00FE1B2D" w:rsidP="00643C1E">
      <w:pPr>
        <w:rPr>
          <w:rFonts w:cstheme="minorHAnsi"/>
          <w:sz w:val="22"/>
          <w:szCs w:val="22"/>
        </w:rPr>
      </w:pPr>
      <w:r w:rsidRPr="00FE1B2D">
        <w:rPr>
          <w:rFonts w:cstheme="minorHAnsi"/>
          <w:sz w:val="22"/>
          <w:szCs w:val="22"/>
        </w:rPr>
        <w:t xml:space="preserve">The survey identified </w:t>
      </w:r>
      <w:r w:rsidR="00246E13">
        <w:rPr>
          <w:rFonts w:cstheme="minorHAnsi"/>
          <w:sz w:val="22"/>
          <w:szCs w:val="22"/>
        </w:rPr>
        <w:t>a broad range of crane types</w:t>
      </w:r>
      <w:r w:rsidR="00A440B2">
        <w:rPr>
          <w:rFonts w:cstheme="minorHAnsi"/>
          <w:b/>
          <w:bCs/>
          <w:sz w:val="22"/>
          <w:szCs w:val="22"/>
        </w:rPr>
        <w:t xml:space="preserve"> </w:t>
      </w:r>
      <w:r w:rsidRPr="00FE1B2D">
        <w:rPr>
          <w:rFonts w:cstheme="minorHAnsi"/>
          <w:sz w:val="22"/>
          <w:szCs w:val="22"/>
        </w:rPr>
        <w:t>in use across the sector. Key findings include:</w:t>
      </w:r>
      <w:r w:rsidR="00E350B0">
        <w:rPr>
          <w:rFonts w:cstheme="minorHAnsi"/>
          <w:sz w:val="22"/>
          <w:szCs w:val="22"/>
        </w:rPr>
        <w:t xml:space="preserve"> </w:t>
      </w:r>
    </w:p>
    <w:p w14:paraId="245243AC" w14:textId="196AB361" w:rsidR="00BC18FA" w:rsidRPr="006F5FC1" w:rsidRDefault="00BC18FA" w:rsidP="006F5FC1">
      <w:pPr>
        <w:numPr>
          <w:ilvl w:val="0"/>
          <w:numId w:val="25"/>
        </w:numPr>
        <w:tabs>
          <w:tab w:val="clear" w:pos="720"/>
          <w:tab w:val="num" w:pos="284"/>
        </w:tabs>
        <w:ind w:left="284" w:hanging="284"/>
        <w:rPr>
          <w:rFonts w:cstheme="minorHAnsi"/>
          <w:sz w:val="22"/>
          <w:szCs w:val="22"/>
        </w:rPr>
      </w:pPr>
      <w:r w:rsidRPr="006F5FC1">
        <w:rPr>
          <w:rFonts w:cstheme="minorHAnsi"/>
          <w:sz w:val="22"/>
          <w:szCs w:val="22"/>
        </w:rPr>
        <w:t>A</w:t>
      </w:r>
      <w:r w:rsidRPr="006F5FC1">
        <w:rPr>
          <w:rFonts w:cstheme="minorHAnsi"/>
          <w:b/>
          <w:bCs/>
          <w:sz w:val="22"/>
          <w:szCs w:val="22"/>
        </w:rPr>
        <w:t xml:space="preserve"> </w:t>
      </w:r>
      <w:r w:rsidRPr="006F5FC1">
        <w:rPr>
          <w:rFonts w:cstheme="minorHAnsi"/>
          <w:sz w:val="22"/>
          <w:szCs w:val="22"/>
        </w:rPr>
        <w:t>limited number</w:t>
      </w:r>
      <w:r w:rsidRPr="006F5FC1">
        <w:rPr>
          <w:rFonts w:cstheme="minorHAnsi"/>
          <w:b/>
          <w:bCs/>
          <w:sz w:val="22"/>
          <w:szCs w:val="22"/>
        </w:rPr>
        <w:t xml:space="preserve"> </w:t>
      </w:r>
      <w:r w:rsidRPr="006F5FC1">
        <w:rPr>
          <w:rFonts w:cstheme="minorHAnsi"/>
          <w:sz w:val="22"/>
          <w:szCs w:val="22"/>
        </w:rPr>
        <w:t>of crane types are covered under existing HRW licence classes</w:t>
      </w:r>
      <w:r w:rsidRPr="006F5FC1">
        <w:rPr>
          <w:rFonts w:cstheme="minorHAnsi"/>
          <w:b/>
          <w:bCs/>
          <w:sz w:val="22"/>
          <w:szCs w:val="22"/>
        </w:rPr>
        <w:t>.</w:t>
      </w:r>
      <w:r w:rsidRPr="006F5FC1">
        <w:rPr>
          <w:rFonts w:cstheme="minorHAnsi"/>
          <w:sz w:val="22"/>
          <w:szCs w:val="22"/>
        </w:rPr>
        <w:t xml:space="preserve"> These include all terrain cranes, rough terrain cranes, and telescopic boom crawler cranes, which are covered under the slewing mobile crane licence classes. Other </w:t>
      </w:r>
      <w:r w:rsidR="002177B7" w:rsidRPr="006F5FC1">
        <w:rPr>
          <w:rFonts w:cstheme="minorHAnsi"/>
          <w:sz w:val="22"/>
          <w:szCs w:val="22"/>
        </w:rPr>
        <w:t>crane</w:t>
      </w:r>
      <w:r w:rsidRPr="006F5FC1">
        <w:rPr>
          <w:rFonts w:cstheme="minorHAnsi"/>
          <w:sz w:val="22"/>
          <w:szCs w:val="22"/>
        </w:rPr>
        <w:t xml:space="preserve"> types</w:t>
      </w:r>
      <w:r w:rsidR="002177B7" w:rsidRPr="006F5FC1">
        <w:rPr>
          <w:rFonts w:cstheme="minorHAnsi"/>
          <w:sz w:val="22"/>
          <w:szCs w:val="22"/>
        </w:rPr>
        <w:t xml:space="preserve"> covered under the existing HRW licence classes </w:t>
      </w:r>
      <w:r w:rsidRPr="006F5FC1">
        <w:rPr>
          <w:rFonts w:cstheme="minorHAnsi"/>
          <w:sz w:val="22"/>
          <w:szCs w:val="22"/>
        </w:rPr>
        <w:t>include tower cranes, vehicle loading cranes, reach stackers</w:t>
      </w:r>
      <w:r w:rsidR="006F5FC1" w:rsidRPr="006F5FC1">
        <w:rPr>
          <w:rFonts w:cstheme="minorHAnsi"/>
          <w:sz w:val="22"/>
          <w:szCs w:val="22"/>
        </w:rPr>
        <w:t>,</w:t>
      </w:r>
      <w:r w:rsidR="00BB6CDB" w:rsidRPr="006F5FC1">
        <w:rPr>
          <w:rFonts w:cstheme="minorHAnsi"/>
          <w:sz w:val="22"/>
          <w:szCs w:val="22"/>
        </w:rPr>
        <w:t xml:space="preserve"> portal boom cranes and bridge and gantry cranes</w:t>
      </w:r>
      <w:proofErr w:type="gramStart"/>
      <w:r w:rsidR="00BB6CDB" w:rsidRPr="006F5FC1">
        <w:rPr>
          <w:rFonts w:cstheme="minorHAnsi"/>
          <w:sz w:val="22"/>
          <w:szCs w:val="22"/>
        </w:rPr>
        <w:t>)</w:t>
      </w:r>
      <w:r w:rsidRPr="006F5FC1">
        <w:rPr>
          <w:rFonts w:cstheme="minorHAnsi"/>
          <w:sz w:val="22"/>
          <w:szCs w:val="22"/>
        </w:rPr>
        <w:t>.</w:t>
      </w:r>
      <w:r w:rsidR="00FE1B2D" w:rsidRPr="006F5FC1">
        <w:rPr>
          <w:rFonts w:cstheme="minorHAnsi"/>
          <w:sz w:val="22"/>
          <w:szCs w:val="22"/>
        </w:rPr>
        <w:t>A</w:t>
      </w:r>
      <w:proofErr w:type="gramEnd"/>
      <w:r w:rsidR="00FE1B2D" w:rsidRPr="006F5FC1">
        <w:rPr>
          <w:rFonts w:cstheme="minorHAnsi"/>
          <w:sz w:val="22"/>
          <w:szCs w:val="22"/>
        </w:rPr>
        <w:t> notable number of crane types</w:t>
      </w:r>
      <w:r w:rsidR="002177B7" w:rsidRPr="006F5FC1">
        <w:rPr>
          <w:rFonts w:cstheme="minorHAnsi"/>
          <w:sz w:val="22"/>
          <w:szCs w:val="22"/>
        </w:rPr>
        <w:t xml:space="preserve"> used in the maritime sector</w:t>
      </w:r>
      <w:r w:rsidR="00FE1B2D" w:rsidRPr="006F5FC1">
        <w:rPr>
          <w:rFonts w:cstheme="minorHAnsi"/>
          <w:sz w:val="22"/>
          <w:szCs w:val="22"/>
        </w:rPr>
        <w:t xml:space="preserve"> are not currently captured by the HRW licensing framework</w:t>
      </w:r>
      <w:r w:rsidRPr="006F5FC1">
        <w:rPr>
          <w:rFonts w:cstheme="minorHAnsi"/>
          <w:sz w:val="22"/>
          <w:szCs w:val="22"/>
        </w:rPr>
        <w:t>.</w:t>
      </w:r>
      <w:r w:rsidR="007F4376" w:rsidRPr="006F5FC1">
        <w:rPr>
          <w:rFonts w:cstheme="minorHAnsi"/>
          <w:sz w:val="22"/>
          <w:szCs w:val="22"/>
        </w:rPr>
        <w:t xml:space="preserve"> These include specialised </w:t>
      </w:r>
      <w:r w:rsidR="007E57F8" w:rsidRPr="006F5FC1">
        <w:rPr>
          <w:rFonts w:cstheme="minorHAnsi"/>
          <w:sz w:val="22"/>
          <w:szCs w:val="22"/>
        </w:rPr>
        <w:t>cranes</w:t>
      </w:r>
      <w:r w:rsidR="007F4376" w:rsidRPr="006F5FC1">
        <w:rPr>
          <w:rFonts w:cstheme="minorHAnsi"/>
          <w:sz w:val="22"/>
          <w:szCs w:val="22"/>
        </w:rPr>
        <w:t xml:space="preserve"> such as heavy lift ship mast cranes, knuckle boom cranes, </w:t>
      </w:r>
      <w:r w:rsidR="00AA4CB3" w:rsidRPr="006F5FC1">
        <w:rPr>
          <w:rFonts w:cstheme="minorHAnsi"/>
          <w:sz w:val="22"/>
          <w:szCs w:val="22"/>
        </w:rPr>
        <w:t>straddle carriers</w:t>
      </w:r>
      <w:r w:rsidR="007F4376" w:rsidRPr="006F5FC1">
        <w:rPr>
          <w:rFonts w:cstheme="minorHAnsi"/>
          <w:sz w:val="22"/>
          <w:szCs w:val="22"/>
        </w:rPr>
        <w:t xml:space="preserve">, and offshore platform cranes, which are not currently associated with any HRW licence class. </w:t>
      </w:r>
    </w:p>
    <w:p w14:paraId="23033E54" w14:textId="599E5C32" w:rsidR="0053194A" w:rsidRPr="00D256F7" w:rsidRDefault="0053194A" w:rsidP="00082B8D">
      <w:pPr>
        <w:numPr>
          <w:ilvl w:val="0"/>
          <w:numId w:val="25"/>
        </w:numPr>
        <w:tabs>
          <w:tab w:val="clear" w:pos="720"/>
          <w:tab w:val="num" w:pos="284"/>
        </w:tabs>
        <w:ind w:left="284" w:hanging="284"/>
        <w:rPr>
          <w:rFonts w:cstheme="minorHAnsi"/>
          <w:sz w:val="22"/>
          <w:szCs w:val="22"/>
        </w:rPr>
      </w:pPr>
      <w:proofErr w:type="gramStart"/>
      <w:r w:rsidRPr="00FE1B2D">
        <w:rPr>
          <w:rFonts w:cstheme="minorHAnsi"/>
          <w:sz w:val="22"/>
          <w:szCs w:val="22"/>
        </w:rPr>
        <w:t>The</w:t>
      </w:r>
      <w:r w:rsidR="00D73760">
        <w:rPr>
          <w:rFonts w:cstheme="minorHAnsi"/>
          <w:sz w:val="22"/>
          <w:szCs w:val="22"/>
        </w:rPr>
        <w:t xml:space="preserve"> </w:t>
      </w:r>
      <w:r w:rsidRPr="00F41E4C">
        <w:rPr>
          <w:rFonts w:cstheme="minorHAnsi"/>
          <w:sz w:val="22"/>
          <w:szCs w:val="22"/>
        </w:rPr>
        <w:t>majority of</w:t>
      </w:r>
      <w:proofErr w:type="gramEnd"/>
      <w:r w:rsidRPr="00F41E4C">
        <w:rPr>
          <w:rFonts w:cstheme="minorHAnsi"/>
          <w:sz w:val="22"/>
          <w:szCs w:val="22"/>
        </w:rPr>
        <w:t xml:space="preserve"> crane types</w:t>
      </w:r>
      <w:r w:rsidR="001A7B13">
        <w:rPr>
          <w:rFonts w:cstheme="minorHAnsi"/>
          <w:sz w:val="22"/>
          <w:szCs w:val="22"/>
        </w:rPr>
        <w:t xml:space="preserve"> used in the maritime sector </w:t>
      </w:r>
      <w:r w:rsidR="001A7B13" w:rsidRPr="00FE1B2D">
        <w:rPr>
          <w:rFonts w:cstheme="minorHAnsi"/>
          <w:sz w:val="22"/>
          <w:szCs w:val="22"/>
        </w:rPr>
        <w:t>fall</w:t>
      </w:r>
      <w:r w:rsidRPr="00FE1B2D">
        <w:rPr>
          <w:rFonts w:cstheme="minorHAnsi"/>
          <w:sz w:val="22"/>
          <w:szCs w:val="22"/>
        </w:rPr>
        <w:t xml:space="preserve"> into </w:t>
      </w:r>
      <w:r w:rsidRPr="00F41E4C">
        <w:rPr>
          <w:rFonts w:cstheme="minorHAnsi"/>
          <w:sz w:val="22"/>
          <w:szCs w:val="22"/>
        </w:rPr>
        <w:t>a grey area</w:t>
      </w:r>
      <w:r w:rsidRPr="00FE1B2D">
        <w:rPr>
          <w:rFonts w:cstheme="minorHAnsi"/>
          <w:sz w:val="22"/>
          <w:szCs w:val="22"/>
        </w:rPr>
        <w:t xml:space="preserve">, where their classification under the </w:t>
      </w:r>
      <w:r w:rsidRPr="00D256F7">
        <w:rPr>
          <w:rFonts w:cstheme="minorHAnsi"/>
          <w:sz w:val="22"/>
          <w:szCs w:val="22"/>
        </w:rPr>
        <w:t xml:space="preserve">current </w:t>
      </w:r>
      <w:r w:rsidR="002177B7">
        <w:rPr>
          <w:rFonts w:cstheme="minorHAnsi"/>
          <w:sz w:val="22"/>
          <w:szCs w:val="22"/>
        </w:rPr>
        <w:t xml:space="preserve">HRW </w:t>
      </w:r>
      <w:r w:rsidRPr="00D256F7">
        <w:rPr>
          <w:rFonts w:cstheme="minorHAnsi"/>
          <w:sz w:val="22"/>
          <w:szCs w:val="22"/>
        </w:rPr>
        <w:t xml:space="preserve">licensing </w:t>
      </w:r>
      <w:r w:rsidR="002177B7">
        <w:rPr>
          <w:rFonts w:cstheme="minorHAnsi"/>
          <w:sz w:val="22"/>
          <w:szCs w:val="22"/>
        </w:rPr>
        <w:t>framework</w:t>
      </w:r>
      <w:r w:rsidR="002177B7" w:rsidRPr="00D256F7">
        <w:rPr>
          <w:rFonts w:cstheme="minorHAnsi"/>
          <w:sz w:val="22"/>
          <w:szCs w:val="22"/>
        </w:rPr>
        <w:t xml:space="preserve"> </w:t>
      </w:r>
      <w:r w:rsidRPr="00D256F7">
        <w:rPr>
          <w:rFonts w:cstheme="minorHAnsi"/>
          <w:sz w:val="22"/>
          <w:szCs w:val="22"/>
        </w:rPr>
        <w:t xml:space="preserve">is ambiguous or </w:t>
      </w:r>
      <w:proofErr w:type="gramStart"/>
      <w:r w:rsidRPr="00D256F7">
        <w:rPr>
          <w:rFonts w:cstheme="minorHAnsi"/>
          <w:sz w:val="22"/>
          <w:szCs w:val="22"/>
        </w:rPr>
        <w:t>context-dependent</w:t>
      </w:r>
      <w:proofErr w:type="gramEnd"/>
      <w:r w:rsidRPr="00D256F7">
        <w:rPr>
          <w:rFonts w:cstheme="minorHAnsi"/>
          <w:sz w:val="22"/>
          <w:szCs w:val="22"/>
        </w:rPr>
        <w:t>. For example, </w:t>
      </w:r>
      <w:r w:rsidRPr="00D73760">
        <w:rPr>
          <w:rFonts w:cstheme="minorHAnsi"/>
          <w:sz w:val="22"/>
          <w:szCs w:val="22"/>
        </w:rPr>
        <w:t>ringer cranes</w:t>
      </w:r>
      <w:r w:rsidRPr="00D256F7">
        <w:rPr>
          <w:rFonts w:cstheme="minorHAnsi"/>
          <w:sz w:val="22"/>
          <w:szCs w:val="22"/>
        </w:rPr>
        <w:t> </w:t>
      </w:r>
      <w:r w:rsidR="00084E95">
        <w:rPr>
          <w:rFonts w:cstheme="minorHAnsi"/>
          <w:sz w:val="22"/>
          <w:szCs w:val="22"/>
        </w:rPr>
        <w:t>can</w:t>
      </w:r>
      <w:r w:rsidRPr="00D256F7">
        <w:rPr>
          <w:rFonts w:cstheme="minorHAnsi"/>
          <w:sz w:val="22"/>
          <w:szCs w:val="22"/>
        </w:rPr>
        <w:t xml:space="preserve"> require either a </w:t>
      </w:r>
      <w:r w:rsidRPr="00D73760">
        <w:rPr>
          <w:rFonts w:cstheme="minorHAnsi"/>
          <w:sz w:val="22"/>
          <w:szCs w:val="22"/>
        </w:rPr>
        <w:t>slewing mobile crane</w:t>
      </w:r>
      <w:r w:rsidRPr="00D256F7">
        <w:rPr>
          <w:rFonts w:cstheme="minorHAnsi"/>
          <w:sz w:val="22"/>
          <w:szCs w:val="22"/>
        </w:rPr>
        <w:t> or </w:t>
      </w:r>
      <w:r w:rsidRPr="00D73760">
        <w:rPr>
          <w:rFonts w:cstheme="minorHAnsi"/>
          <w:sz w:val="22"/>
          <w:szCs w:val="22"/>
        </w:rPr>
        <w:t>derrick crane</w:t>
      </w:r>
      <w:r w:rsidRPr="00D256F7">
        <w:rPr>
          <w:rFonts w:cstheme="minorHAnsi"/>
          <w:sz w:val="22"/>
          <w:szCs w:val="22"/>
        </w:rPr>
        <w:t> licence depending on their setup and intended function. </w:t>
      </w:r>
      <w:r w:rsidRPr="00D73760">
        <w:rPr>
          <w:rFonts w:cstheme="minorHAnsi"/>
          <w:sz w:val="22"/>
          <w:szCs w:val="22"/>
        </w:rPr>
        <w:t>Specialised reach stackers</w:t>
      </w:r>
      <w:r w:rsidRPr="00D256F7">
        <w:rPr>
          <w:rFonts w:cstheme="minorHAnsi"/>
          <w:sz w:val="22"/>
          <w:szCs w:val="22"/>
        </w:rPr>
        <w:t xml:space="preserve"> may also require different </w:t>
      </w:r>
      <w:r w:rsidR="001A7B13">
        <w:rPr>
          <w:rFonts w:cstheme="minorHAnsi"/>
          <w:sz w:val="22"/>
          <w:szCs w:val="22"/>
        </w:rPr>
        <w:t xml:space="preserve">HRW </w:t>
      </w:r>
      <w:r w:rsidRPr="00D256F7">
        <w:rPr>
          <w:rFonts w:cstheme="minorHAnsi"/>
          <w:sz w:val="22"/>
          <w:szCs w:val="22"/>
        </w:rPr>
        <w:t>licence classes depending on their operational context and lifting capacity.</w:t>
      </w:r>
    </w:p>
    <w:p w14:paraId="2CBC8F85" w14:textId="483F2E98" w:rsidR="0053194A" w:rsidRPr="00084E95" w:rsidRDefault="0053194A" w:rsidP="00082B8D">
      <w:pPr>
        <w:numPr>
          <w:ilvl w:val="0"/>
          <w:numId w:val="25"/>
        </w:numPr>
        <w:tabs>
          <w:tab w:val="clear" w:pos="720"/>
          <w:tab w:val="num" w:pos="284"/>
        </w:tabs>
        <w:ind w:left="284" w:hanging="284"/>
        <w:rPr>
          <w:rFonts w:cstheme="minorHAnsi"/>
          <w:sz w:val="22"/>
          <w:szCs w:val="22"/>
        </w:rPr>
      </w:pPr>
      <w:r w:rsidRPr="00084E95">
        <w:rPr>
          <w:rFonts w:cstheme="minorHAnsi"/>
          <w:sz w:val="22"/>
          <w:szCs w:val="22"/>
        </w:rPr>
        <w:t xml:space="preserve">There is also </w:t>
      </w:r>
      <w:r w:rsidRPr="002670C0">
        <w:rPr>
          <w:rFonts w:cstheme="minorHAnsi"/>
          <w:sz w:val="22"/>
          <w:szCs w:val="22"/>
        </w:rPr>
        <w:t>variation within individual crane types</w:t>
      </w:r>
      <w:r w:rsidRPr="00084E95">
        <w:rPr>
          <w:rFonts w:cstheme="minorHAnsi"/>
          <w:sz w:val="22"/>
          <w:szCs w:val="22"/>
        </w:rPr>
        <w:t xml:space="preserve">, where differences in configuration, mounting, </w:t>
      </w:r>
      <w:r w:rsidR="00FC3304">
        <w:rPr>
          <w:rFonts w:cstheme="minorHAnsi"/>
          <w:sz w:val="22"/>
          <w:szCs w:val="22"/>
        </w:rPr>
        <w:t>and</w:t>
      </w:r>
      <w:r w:rsidR="00FC3304" w:rsidRPr="00084E95">
        <w:rPr>
          <w:rFonts w:cstheme="minorHAnsi"/>
          <w:sz w:val="22"/>
          <w:szCs w:val="22"/>
        </w:rPr>
        <w:t xml:space="preserve"> </w:t>
      </w:r>
      <w:r w:rsidRPr="00084E95">
        <w:rPr>
          <w:rFonts w:cstheme="minorHAnsi"/>
          <w:sz w:val="22"/>
          <w:szCs w:val="22"/>
        </w:rPr>
        <w:t xml:space="preserve">operational use affect whether a </w:t>
      </w:r>
      <w:r w:rsidR="00EB21E7">
        <w:rPr>
          <w:rFonts w:cstheme="minorHAnsi"/>
          <w:sz w:val="22"/>
          <w:szCs w:val="22"/>
        </w:rPr>
        <w:t xml:space="preserve">HRW </w:t>
      </w:r>
      <w:r w:rsidRPr="00084E95">
        <w:rPr>
          <w:rFonts w:cstheme="minorHAnsi"/>
          <w:sz w:val="22"/>
          <w:szCs w:val="22"/>
        </w:rPr>
        <w:t>licence is required</w:t>
      </w:r>
      <w:r w:rsidR="00084E95" w:rsidRPr="004A25F2">
        <w:rPr>
          <w:rFonts w:cstheme="minorHAnsi"/>
          <w:color w:val="424242"/>
          <w:sz w:val="22"/>
          <w:szCs w:val="22"/>
          <w:shd w:val="clear" w:color="auto" w:fill="FAFAFA"/>
        </w:rPr>
        <w:t xml:space="preserve">. For example, </w:t>
      </w:r>
      <w:r w:rsidR="00084E95" w:rsidRPr="004A25F2">
        <w:rPr>
          <w:rFonts w:cstheme="minorHAnsi"/>
          <w:sz w:val="22"/>
          <w:szCs w:val="22"/>
        </w:rPr>
        <w:t>pedestal cranes</w:t>
      </w:r>
      <w:r w:rsidR="00084E95" w:rsidRPr="00084E95">
        <w:rPr>
          <w:rFonts w:cstheme="minorHAnsi"/>
          <w:sz w:val="22"/>
          <w:szCs w:val="22"/>
        </w:rPr>
        <w:t xml:space="preserve"> vary significantly in size and application. Larger pedestal cranes used in fixed portside operations </w:t>
      </w:r>
      <w:r w:rsidR="00084E95">
        <w:rPr>
          <w:rFonts w:cstheme="minorHAnsi"/>
          <w:sz w:val="22"/>
          <w:szCs w:val="22"/>
        </w:rPr>
        <w:t>can fall</w:t>
      </w:r>
      <w:r w:rsidR="00084E95" w:rsidRPr="00084E95">
        <w:rPr>
          <w:rFonts w:cstheme="minorHAnsi"/>
          <w:sz w:val="22"/>
          <w:szCs w:val="22"/>
        </w:rPr>
        <w:t xml:space="preserve"> within the scope of the </w:t>
      </w:r>
      <w:r w:rsidR="00084E95" w:rsidRPr="004A25F2">
        <w:rPr>
          <w:rFonts w:cstheme="minorHAnsi"/>
          <w:sz w:val="22"/>
          <w:szCs w:val="22"/>
        </w:rPr>
        <w:t xml:space="preserve">tower crane </w:t>
      </w:r>
      <w:r w:rsidR="00084E95" w:rsidRPr="00084E95">
        <w:rPr>
          <w:rFonts w:cstheme="minorHAnsi"/>
          <w:sz w:val="22"/>
          <w:szCs w:val="22"/>
        </w:rPr>
        <w:t>licence class</w:t>
      </w:r>
      <w:r w:rsidR="00542D73">
        <w:rPr>
          <w:rFonts w:cstheme="minorHAnsi"/>
          <w:sz w:val="22"/>
          <w:szCs w:val="22"/>
        </w:rPr>
        <w:t>, depending on their configuration</w:t>
      </w:r>
      <w:r w:rsidR="00084E95" w:rsidRPr="00084E95">
        <w:rPr>
          <w:rFonts w:cstheme="minorHAnsi"/>
          <w:sz w:val="22"/>
          <w:szCs w:val="22"/>
        </w:rPr>
        <w:t xml:space="preserve">. </w:t>
      </w:r>
      <w:r w:rsidR="006B1AD8">
        <w:rPr>
          <w:rFonts w:cstheme="minorHAnsi"/>
          <w:sz w:val="22"/>
          <w:szCs w:val="22"/>
        </w:rPr>
        <w:t>S</w:t>
      </w:r>
      <w:r w:rsidR="00084E95" w:rsidRPr="004A25F2">
        <w:rPr>
          <w:rFonts w:cstheme="minorHAnsi"/>
          <w:sz w:val="22"/>
          <w:szCs w:val="22"/>
        </w:rPr>
        <w:t>maller pedestal cranes</w:t>
      </w:r>
      <w:r w:rsidR="00084E95" w:rsidRPr="00084E95">
        <w:rPr>
          <w:rFonts w:cstheme="minorHAnsi"/>
          <w:sz w:val="22"/>
          <w:szCs w:val="22"/>
        </w:rPr>
        <w:t xml:space="preserve">, particularly those mounted on </w:t>
      </w:r>
      <w:r w:rsidR="00084E95" w:rsidRPr="00084E95">
        <w:rPr>
          <w:rFonts w:cstheme="minorHAnsi"/>
          <w:sz w:val="22"/>
          <w:szCs w:val="22"/>
        </w:rPr>
        <w:lastRenderedPageBreak/>
        <w:t>vessels</w:t>
      </w:r>
      <w:r w:rsidR="002D58C7">
        <w:rPr>
          <w:rFonts w:cstheme="minorHAnsi"/>
          <w:sz w:val="22"/>
          <w:szCs w:val="22"/>
        </w:rPr>
        <w:t xml:space="preserve"> often have lower rated capacities</w:t>
      </w:r>
      <w:r w:rsidR="00084E95" w:rsidRPr="00084E95">
        <w:rPr>
          <w:rFonts w:cstheme="minorHAnsi"/>
          <w:sz w:val="22"/>
          <w:szCs w:val="22"/>
        </w:rPr>
        <w:t xml:space="preserve"> and </w:t>
      </w:r>
      <w:r w:rsidR="002D58C7">
        <w:rPr>
          <w:rFonts w:cstheme="minorHAnsi"/>
          <w:sz w:val="22"/>
          <w:szCs w:val="22"/>
        </w:rPr>
        <w:t>different operating</w:t>
      </w:r>
      <w:r w:rsidR="00D574C9">
        <w:rPr>
          <w:rFonts w:cstheme="minorHAnsi"/>
          <w:sz w:val="22"/>
          <w:szCs w:val="22"/>
        </w:rPr>
        <w:t xml:space="preserve"> characteristics, and</w:t>
      </w:r>
      <w:r w:rsidR="00915664">
        <w:rPr>
          <w:rFonts w:cstheme="minorHAnsi"/>
          <w:sz w:val="22"/>
          <w:szCs w:val="22"/>
        </w:rPr>
        <w:t xml:space="preserve"> </w:t>
      </w:r>
      <w:r w:rsidR="00D574C9">
        <w:rPr>
          <w:rFonts w:cstheme="minorHAnsi"/>
          <w:sz w:val="22"/>
          <w:szCs w:val="22"/>
        </w:rPr>
        <w:t>many</w:t>
      </w:r>
      <w:r w:rsidR="00084E95" w:rsidRPr="00084E95">
        <w:rPr>
          <w:rFonts w:cstheme="minorHAnsi"/>
          <w:sz w:val="22"/>
          <w:szCs w:val="22"/>
        </w:rPr>
        <w:t xml:space="preserve"> are </w:t>
      </w:r>
      <w:r w:rsidR="00084E95" w:rsidRPr="004A25F2">
        <w:rPr>
          <w:rFonts w:cstheme="minorHAnsi"/>
          <w:sz w:val="22"/>
          <w:szCs w:val="22"/>
        </w:rPr>
        <w:t xml:space="preserve">not currently </w:t>
      </w:r>
      <w:r w:rsidR="00B05F1A">
        <w:rPr>
          <w:rFonts w:cstheme="minorHAnsi"/>
          <w:sz w:val="22"/>
          <w:szCs w:val="22"/>
        </w:rPr>
        <w:t>captured</w:t>
      </w:r>
      <w:r w:rsidR="00B05F1A" w:rsidRPr="00084E95">
        <w:rPr>
          <w:rFonts w:cstheme="minorHAnsi"/>
          <w:sz w:val="22"/>
          <w:szCs w:val="22"/>
        </w:rPr>
        <w:t> </w:t>
      </w:r>
      <w:r w:rsidR="00084E95" w:rsidRPr="00084E95">
        <w:rPr>
          <w:rFonts w:cstheme="minorHAnsi"/>
          <w:sz w:val="22"/>
          <w:szCs w:val="22"/>
        </w:rPr>
        <w:t>by any HRW licence class.</w:t>
      </w:r>
    </w:p>
    <w:p w14:paraId="34322235" w14:textId="04212C95" w:rsidR="000E2B61" w:rsidRDefault="00FE1B2D" w:rsidP="00FE1B2D">
      <w:pPr>
        <w:rPr>
          <w:rFonts w:cstheme="minorHAnsi"/>
          <w:sz w:val="22"/>
          <w:szCs w:val="22"/>
        </w:rPr>
      </w:pPr>
      <w:r w:rsidRPr="00FE1B2D">
        <w:rPr>
          <w:rFonts w:cstheme="minorHAnsi"/>
          <w:sz w:val="22"/>
          <w:szCs w:val="22"/>
        </w:rPr>
        <w:t xml:space="preserve">These findings highlight the </w:t>
      </w:r>
      <w:r w:rsidR="00CE3233">
        <w:rPr>
          <w:rFonts w:cstheme="minorHAnsi"/>
          <w:sz w:val="22"/>
          <w:szCs w:val="22"/>
        </w:rPr>
        <w:t>diversity</w:t>
      </w:r>
      <w:r w:rsidR="007539DB">
        <w:rPr>
          <w:rFonts w:cstheme="minorHAnsi"/>
          <w:sz w:val="22"/>
          <w:szCs w:val="22"/>
        </w:rPr>
        <w:t xml:space="preserve"> and </w:t>
      </w:r>
      <w:r w:rsidRPr="00FE1B2D">
        <w:rPr>
          <w:rFonts w:cstheme="minorHAnsi"/>
          <w:sz w:val="22"/>
          <w:szCs w:val="22"/>
        </w:rPr>
        <w:t xml:space="preserve">complexity of crane operations in </w:t>
      </w:r>
      <w:r w:rsidR="002177B7">
        <w:rPr>
          <w:rFonts w:cstheme="minorHAnsi"/>
          <w:sz w:val="22"/>
          <w:szCs w:val="22"/>
        </w:rPr>
        <w:t xml:space="preserve">the </w:t>
      </w:r>
      <w:r w:rsidRPr="00FE1B2D">
        <w:rPr>
          <w:rFonts w:cstheme="minorHAnsi"/>
          <w:sz w:val="22"/>
          <w:szCs w:val="22"/>
        </w:rPr>
        <w:t xml:space="preserve">maritime </w:t>
      </w:r>
      <w:r w:rsidR="002177B7">
        <w:rPr>
          <w:rFonts w:cstheme="minorHAnsi"/>
          <w:sz w:val="22"/>
          <w:szCs w:val="22"/>
        </w:rPr>
        <w:t>sector</w:t>
      </w:r>
      <w:r w:rsidR="002177B7" w:rsidRPr="00FE1B2D">
        <w:rPr>
          <w:rFonts w:cstheme="minorHAnsi"/>
          <w:sz w:val="22"/>
          <w:szCs w:val="22"/>
        </w:rPr>
        <w:t xml:space="preserve"> </w:t>
      </w:r>
      <w:r w:rsidRPr="00FE1B2D">
        <w:rPr>
          <w:rFonts w:cstheme="minorHAnsi"/>
          <w:sz w:val="22"/>
          <w:szCs w:val="22"/>
        </w:rPr>
        <w:t xml:space="preserve">and suggest that the current </w:t>
      </w:r>
      <w:r w:rsidR="00815CEA">
        <w:rPr>
          <w:rFonts w:cstheme="minorHAnsi"/>
          <w:sz w:val="22"/>
          <w:szCs w:val="22"/>
        </w:rPr>
        <w:t xml:space="preserve">HRW </w:t>
      </w:r>
      <w:r w:rsidRPr="00FE1B2D">
        <w:rPr>
          <w:rFonts w:cstheme="minorHAnsi"/>
          <w:sz w:val="22"/>
          <w:szCs w:val="22"/>
        </w:rPr>
        <w:t xml:space="preserve">licensing framework may not </w:t>
      </w:r>
      <w:r w:rsidR="0030355C">
        <w:rPr>
          <w:rFonts w:cstheme="minorHAnsi"/>
          <w:sz w:val="22"/>
          <w:szCs w:val="22"/>
        </w:rPr>
        <w:t xml:space="preserve">fully </w:t>
      </w:r>
      <w:r w:rsidR="00815CEA">
        <w:rPr>
          <w:rFonts w:cstheme="minorHAnsi"/>
          <w:sz w:val="22"/>
          <w:szCs w:val="22"/>
        </w:rPr>
        <w:t>reflect</w:t>
      </w:r>
      <w:r w:rsidRPr="00FE1B2D">
        <w:rPr>
          <w:rFonts w:cstheme="minorHAnsi"/>
          <w:sz w:val="22"/>
          <w:szCs w:val="22"/>
        </w:rPr>
        <w:t xml:space="preserve"> the </w:t>
      </w:r>
      <w:r w:rsidR="00BC0814">
        <w:rPr>
          <w:rFonts w:cstheme="minorHAnsi"/>
          <w:sz w:val="22"/>
          <w:szCs w:val="22"/>
        </w:rPr>
        <w:t>range</w:t>
      </w:r>
      <w:r w:rsidR="00BC0814" w:rsidRPr="00FE1B2D">
        <w:rPr>
          <w:rFonts w:cstheme="minorHAnsi"/>
          <w:sz w:val="22"/>
          <w:szCs w:val="22"/>
        </w:rPr>
        <w:t xml:space="preserve"> </w:t>
      </w:r>
      <w:r w:rsidRPr="00FE1B2D">
        <w:rPr>
          <w:rFonts w:cstheme="minorHAnsi"/>
          <w:sz w:val="22"/>
          <w:szCs w:val="22"/>
        </w:rPr>
        <w:t xml:space="preserve">of crane types </w:t>
      </w:r>
      <w:r w:rsidR="007E6752">
        <w:rPr>
          <w:rFonts w:cstheme="minorHAnsi"/>
          <w:sz w:val="22"/>
          <w:szCs w:val="22"/>
        </w:rPr>
        <w:t xml:space="preserve">and operational </w:t>
      </w:r>
      <w:r w:rsidR="001E7FCC">
        <w:rPr>
          <w:rFonts w:cstheme="minorHAnsi"/>
          <w:sz w:val="22"/>
          <w:szCs w:val="22"/>
        </w:rPr>
        <w:t>environments</w:t>
      </w:r>
      <w:r w:rsidR="00522254">
        <w:rPr>
          <w:rFonts w:cstheme="minorHAnsi"/>
          <w:sz w:val="22"/>
          <w:szCs w:val="22"/>
        </w:rPr>
        <w:t xml:space="preserve"> present in maritime workplaces</w:t>
      </w:r>
      <w:r w:rsidR="001E026B">
        <w:rPr>
          <w:rFonts w:cstheme="minorHAnsi"/>
          <w:sz w:val="22"/>
          <w:szCs w:val="22"/>
        </w:rPr>
        <w:t>, nor the specific safety risks arising from</w:t>
      </w:r>
      <w:r w:rsidR="00126361">
        <w:rPr>
          <w:rFonts w:cstheme="minorHAnsi"/>
          <w:sz w:val="22"/>
          <w:szCs w:val="22"/>
        </w:rPr>
        <w:t xml:space="preserve"> </w:t>
      </w:r>
      <w:r w:rsidRPr="00FE1B2D">
        <w:rPr>
          <w:rFonts w:cstheme="minorHAnsi"/>
          <w:sz w:val="22"/>
          <w:szCs w:val="22"/>
        </w:rPr>
        <w:t xml:space="preserve">their use </w:t>
      </w:r>
    </w:p>
    <w:p w14:paraId="714CC60D" w14:textId="1C7D79FB" w:rsidR="00FB5879" w:rsidRPr="00C53276" w:rsidRDefault="00FB5879" w:rsidP="00124379">
      <w:pPr>
        <w:pStyle w:val="Heading2"/>
        <w:spacing w:before="240" w:after="60"/>
        <w:rPr>
          <w:rFonts w:eastAsiaTheme="minorHAnsi" w:cstheme="minorHAnsi"/>
          <w:b/>
          <w:iCs/>
          <w:color w:val="6E2F9D"/>
          <w:sz w:val="24"/>
          <w:szCs w:val="24"/>
        </w:rPr>
      </w:pPr>
      <w:bookmarkStart w:id="21" w:name="_Toc166574360"/>
      <w:bookmarkStart w:id="22" w:name="_Toc221540308"/>
      <w:r w:rsidRPr="00124379">
        <w:rPr>
          <w:rFonts w:asciiTheme="minorHAnsi" w:eastAsiaTheme="minorHAnsi" w:hAnsiTheme="minorHAnsi" w:cstheme="minorHAnsi"/>
          <w:b/>
          <w:color w:val="6E2F9D"/>
          <w:sz w:val="24"/>
          <w:szCs w:val="24"/>
        </w:rPr>
        <w:t>Consultation process</w:t>
      </w:r>
      <w:bookmarkEnd w:id="21"/>
      <w:bookmarkEnd w:id="22"/>
      <w:r w:rsidRPr="00C53276">
        <w:rPr>
          <w:rFonts w:eastAsiaTheme="minorHAnsi" w:cstheme="minorHAnsi"/>
          <w:b/>
          <w:color w:val="6E2F9D"/>
          <w:sz w:val="24"/>
          <w:szCs w:val="24"/>
        </w:rPr>
        <w:t xml:space="preserve"> </w:t>
      </w:r>
    </w:p>
    <w:p w14:paraId="4857E9E5" w14:textId="375EDF09" w:rsidR="00124379" w:rsidRPr="00124379" w:rsidRDefault="00124379" w:rsidP="00124379">
      <w:pPr>
        <w:spacing w:after="60"/>
        <w:rPr>
          <w:rFonts w:cstheme="minorHAnsi"/>
          <w:sz w:val="22"/>
          <w:szCs w:val="22"/>
        </w:rPr>
      </w:pPr>
      <w:bookmarkStart w:id="23" w:name="_Toc166574361"/>
      <w:bookmarkStart w:id="24" w:name="_Toc203021398"/>
      <w:bookmarkStart w:id="25" w:name="_Toc166574362"/>
      <w:r w:rsidRPr="00124379">
        <w:rPr>
          <w:rFonts w:cstheme="minorHAnsi"/>
          <w:sz w:val="22"/>
          <w:szCs w:val="22"/>
        </w:rPr>
        <w:t xml:space="preserve">This discussion paper has been prepared to invite feedback on targeted proposals aimed at </w:t>
      </w:r>
      <w:r w:rsidR="008D22F5">
        <w:rPr>
          <w:rFonts w:cstheme="minorHAnsi"/>
          <w:sz w:val="22"/>
          <w:szCs w:val="22"/>
        </w:rPr>
        <w:t>improving</w:t>
      </w:r>
      <w:r w:rsidR="008D22F5" w:rsidRPr="00124379">
        <w:rPr>
          <w:rFonts w:cstheme="minorHAnsi"/>
          <w:sz w:val="22"/>
          <w:szCs w:val="22"/>
        </w:rPr>
        <w:t xml:space="preserve"> </w:t>
      </w:r>
      <w:r w:rsidRPr="00124379">
        <w:rPr>
          <w:rFonts w:cstheme="minorHAnsi"/>
          <w:sz w:val="22"/>
          <w:szCs w:val="22"/>
        </w:rPr>
        <w:t xml:space="preserve">the safety of crane operations within maritime </w:t>
      </w:r>
      <w:r w:rsidR="008D22F5">
        <w:rPr>
          <w:rFonts w:cstheme="minorHAnsi"/>
          <w:sz w:val="22"/>
          <w:szCs w:val="22"/>
        </w:rPr>
        <w:t>workplaces</w:t>
      </w:r>
      <w:r w:rsidRPr="00124379">
        <w:rPr>
          <w:rFonts w:cstheme="minorHAnsi"/>
          <w:sz w:val="22"/>
          <w:szCs w:val="22"/>
        </w:rPr>
        <w:t>. The central focus is the consideration of a dedicated HRW</w:t>
      </w:r>
      <w:r w:rsidR="000D6EFA">
        <w:rPr>
          <w:rFonts w:cstheme="minorHAnsi"/>
          <w:sz w:val="22"/>
          <w:szCs w:val="22"/>
        </w:rPr>
        <w:t xml:space="preserve"> </w:t>
      </w:r>
      <w:r w:rsidRPr="00124379">
        <w:rPr>
          <w:rFonts w:cstheme="minorHAnsi"/>
          <w:sz w:val="22"/>
          <w:szCs w:val="22"/>
        </w:rPr>
        <w:t>licence for operating cranes on vessels. However, the paper also explores alternative measures to improve crane safety in this industry.</w:t>
      </w:r>
    </w:p>
    <w:p w14:paraId="6FB4D9C5" w14:textId="12859248" w:rsidR="00124379" w:rsidRPr="00124379" w:rsidRDefault="00124379" w:rsidP="00124379">
      <w:pPr>
        <w:spacing w:after="60"/>
        <w:rPr>
          <w:rFonts w:cstheme="minorHAnsi"/>
          <w:sz w:val="22"/>
          <w:szCs w:val="22"/>
        </w:rPr>
      </w:pPr>
      <w:r w:rsidRPr="00124379">
        <w:rPr>
          <w:rFonts w:cstheme="minorHAnsi"/>
          <w:sz w:val="22"/>
          <w:szCs w:val="22"/>
        </w:rPr>
        <w:t xml:space="preserve">Insights and evidence gathered through this public consultation will help </w:t>
      </w:r>
      <w:r w:rsidR="006A77EA">
        <w:rPr>
          <w:rFonts w:cstheme="minorHAnsi"/>
          <w:sz w:val="22"/>
          <w:szCs w:val="22"/>
        </w:rPr>
        <w:t>inform potential changes</w:t>
      </w:r>
      <w:r w:rsidRPr="00124379">
        <w:rPr>
          <w:rFonts w:cstheme="minorHAnsi"/>
          <w:sz w:val="22"/>
          <w:szCs w:val="22"/>
        </w:rPr>
        <w:t xml:space="preserve"> to the HRW licensing framework for cranes under the model WHS </w:t>
      </w:r>
      <w:r w:rsidR="006A77EA">
        <w:rPr>
          <w:rFonts w:cstheme="minorHAnsi"/>
          <w:sz w:val="22"/>
          <w:szCs w:val="22"/>
        </w:rPr>
        <w:t>Regulations</w:t>
      </w:r>
      <w:r w:rsidRPr="00124379">
        <w:rPr>
          <w:rFonts w:cstheme="minorHAnsi"/>
          <w:sz w:val="22"/>
          <w:szCs w:val="22"/>
        </w:rPr>
        <w:t xml:space="preserve">. </w:t>
      </w:r>
    </w:p>
    <w:p w14:paraId="081343C5" w14:textId="0439289F" w:rsidR="00124379" w:rsidRPr="00124379" w:rsidRDefault="00124379" w:rsidP="00124379">
      <w:pPr>
        <w:spacing w:after="60"/>
        <w:rPr>
          <w:rFonts w:cstheme="minorHAnsi"/>
          <w:sz w:val="22"/>
          <w:szCs w:val="22"/>
        </w:rPr>
      </w:pPr>
      <w:r w:rsidRPr="00124379">
        <w:rPr>
          <w:rFonts w:cstheme="minorHAnsi"/>
          <w:sz w:val="22"/>
          <w:szCs w:val="22"/>
        </w:rPr>
        <w:t xml:space="preserve">Please note that the options presented are for consultation purposes only. They may be revised based on additional evidence, policy evaluation, and stakeholder feedback. Any regulatory changes will ultimately require approval by Safe Work Australia Members and, </w:t>
      </w:r>
      <w:r w:rsidR="002F4577">
        <w:rPr>
          <w:rFonts w:cstheme="minorHAnsi"/>
          <w:sz w:val="22"/>
          <w:szCs w:val="22"/>
        </w:rPr>
        <w:t>in most cases,</w:t>
      </w:r>
      <w:r w:rsidRPr="00124379">
        <w:rPr>
          <w:rFonts w:cstheme="minorHAnsi"/>
          <w:sz w:val="22"/>
          <w:szCs w:val="22"/>
        </w:rPr>
        <w:t xml:space="preserve"> WHS ministers.</w:t>
      </w:r>
      <w:r w:rsidR="006A77EA" w:rsidRPr="006A77EA">
        <w:rPr>
          <w:rFonts w:cstheme="minorHAnsi"/>
          <w:sz w:val="22"/>
          <w:szCs w:val="22"/>
        </w:rPr>
        <w:t xml:space="preserve"> </w:t>
      </w:r>
      <w:r w:rsidR="006A77EA">
        <w:rPr>
          <w:rFonts w:cstheme="minorHAnsi"/>
          <w:sz w:val="22"/>
          <w:szCs w:val="22"/>
        </w:rPr>
        <w:t>F</w:t>
      </w:r>
      <w:r w:rsidR="006A77EA" w:rsidRPr="00124379">
        <w:rPr>
          <w:rFonts w:cstheme="minorHAnsi"/>
          <w:sz w:val="22"/>
          <w:szCs w:val="22"/>
        </w:rPr>
        <w:t>urther analysis, including assessments of their potential costs and benefits</w:t>
      </w:r>
      <w:r w:rsidR="006A77EA">
        <w:rPr>
          <w:rFonts w:cstheme="minorHAnsi"/>
          <w:sz w:val="22"/>
          <w:szCs w:val="22"/>
        </w:rPr>
        <w:t>, will also be undertaken as required</w:t>
      </w:r>
      <w:r w:rsidR="006A77EA" w:rsidRPr="00124379">
        <w:rPr>
          <w:rFonts w:cstheme="minorHAnsi"/>
          <w:sz w:val="22"/>
          <w:szCs w:val="22"/>
        </w:rPr>
        <w:t>.</w:t>
      </w:r>
    </w:p>
    <w:p w14:paraId="661B90F0" w14:textId="77777777" w:rsidR="00124379" w:rsidRPr="00124379" w:rsidRDefault="00124379" w:rsidP="00124379">
      <w:pPr>
        <w:spacing w:after="60"/>
        <w:rPr>
          <w:rFonts w:cstheme="minorHAnsi"/>
          <w:sz w:val="22"/>
          <w:szCs w:val="22"/>
        </w:rPr>
      </w:pPr>
      <w:r w:rsidRPr="00124379">
        <w:rPr>
          <w:rFonts w:cstheme="minorHAnsi"/>
          <w:sz w:val="22"/>
          <w:szCs w:val="22"/>
        </w:rPr>
        <w:t>All stakeholders involved in crane operations within the port and maritime sectors are encouraged to contribute to this consultation. Details on how to participate can be found in Part 2 of this paper.</w:t>
      </w:r>
    </w:p>
    <w:p w14:paraId="593B9962" w14:textId="77777777" w:rsidR="00790876" w:rsidRPr="00C53276" w:rsidRDefault="00790876" w:rsidP="00790876">
      <w:pPr>
        <w:pStyle w:val="Heading2"/>
        <w:spacing w:before="240" w:after="60"/>
        <w:rPr>
          <w:rFonts w:asciiTheme="minorHAnsi" w:eastAsiaTheme="minorHAnsi" w:hAnsiTheme="minorHAnsi" w:cstheme="minorHAnsi"/>
          <w:b/>
          <w:iCs/>
          <w:color w:val="6E2F9D"/>
          <w:sz w:val="24"/>
          <w:szCs w:val="24"/>
        </w:rPr>
      </w:pPr>
      <w:bookmarkStart w:id="26" w:name="_Toc221540309"/>
      <w:r w:rsidRPr="00C53276">
        <w:rPr>
          <w:rFonts w:asciiTheme="minorHAnsi" w:eastAsiaTheme="minorHAnsi" w:hAnsiTheme="minorHAnsi" w:cstheme="minorHAnsi"/>
          <w:b/>
          <w:color w:val="6E2F9D"/>
          <w:sz w:val="24"/>
          <w:szCs w:val="24"/>
        </w:rPr>
        <w:t>Crane licence working group</w:t>
      </w:r>
      <w:bookmarkEnd w:id="23"/>
      <w:bookmarkEnd w:id="24"/>
      <w:bookmarkEnd w:id="26"/>
    </w:p>
    <w:p w14:paraId="5E782F5F" w14:textId="799C9CF7" w:rsidR="00790876" w:rsidRPr="00A62554" w:rsidRDefault="00070EC5" w:rsidP="00790876">
      <w:pPr>
        <w:rPr>
          <w:rFonts w:cstheme="minorHAnsi"/>
          <w:sz w:val="22"/>
          <w:szCs w:val="22"/>
        </w:rPr>
      </w:pPr>
      <w:r>
        <w:rPr>
          <w:rFonts w:cstheme="minorHAnsi"/>
          <w:sz w:val="22"/>
          <w:szCs w:val="22"/>
        </w:rPr>
        <w:t>The Agency</w:t>
      </w:r>
      <w:r w:rsidR="00790876" w:rsidRPr="00A62554">
        <w:rPr>
          <w:rFonts w:cstheme="minorHAnsi"/>
          <w:sz w:val="22"/>
          <w:szCs w:val="22"/>
        </w:rPr>
        <w:t xml:space="preserve"> is supported by a crane licence working group. The group consists of representatives </w:t>
      </w:r>
      <w:r w:rsidR="0005171A">
        <w:rPr>
          <w:rFonts w:cstheme="minorHAnsi"/>
          <w:sz w:val="22"/>
          <w:szCs w:val="22"/>
        </w:rPr>
        <w:t>from</w:t>
      </w:r>
      <w:r w:rsidR="00790876" w:rsidRPr="00A62554">
        <w:rPr>
          <w:rFonts w:cstheme="minorHAnsi"/>
          <w:sz w:val="22"/>
          <w:szCs w:val="22"/>
        </w:rPr>
        <w:t xml:space="preserve"> each jurisdiction, unions, industry </w:t>
      </w:r>
      <w:r w:rsidR="002B3E3F">
        <w:rPr>
          <w:rFonts w:cstheme="minorHAnsi"/>
          <w:sz w:val="22"/>
          <w:szCs w:val="22"/>
        </w:rPr>
        <w:t>groups</w:t>
      </w:r>
      <w:r w:rsidR="00790876" w:rsidRPr="00A62554">
        <w:rPr>
          <w:rFonts w:cstheme="minorHAnsi"/>
          <w:sz w:val="22"/>
          <w:szCs w:val="22"/>
        </w:rPr>
        <w:t xml:space="preserve"> and the Crane Industry Council of Australia. The working group provides expert technical advice and is not a decision-making body. Its role is to provide advice to Safe Work Australia Members on improvements to crane licensing. </w:t>
      </w:r>
    </w:p>
    <w:p w14:paraId="700CC296" w14:textId="3A9A4A6A" w:rsidR="00A91A17" w:rsidRPr="000801AE" w:rsidRDefault="00A91A17" w:rsidP="00EF4DD5">
      <w:pPr>
        <w:pStyle w:val="Heading2"/>
        <w:spacing w:before="240" w:after="60"/>
        <w:rPr>
          <w:rFonts w:asciiTheme="minorHAnsi" w:eastAsiaTheme="minorHAnsi" w:hAnsiTheme="minorHAnsi" w:cstheme="minorHAnsi"/>
          <w:b/>
          <w:iCs/>
          <w:color w:val="6E2F9D"/>
          <w:sz w:val="24"/>
          <w:szCs w:val="24"/>
        </w:rPr>
      </w:pPr>
      <w:bookmarkStart w:id="27" w:name="_Toc203021399"/>
      <w:bookmarkStart w:id="28" w:name="_Toc221540310"/>
      <w:r w:rsidRPr="000801AE">
        <w:rPr>
          <w:rFonts w:asciiTheme="minorHAnsi" w:eastAsiaTheme="minorHAnsi" w:hAnsiTheme="minorHAnsi" w:cstheme="minorHAnsi"/>
          <w:b/>
          <w:color w:val="6E2F9D"/>
          <w:sz w:val="24"/>
          <w:szCs w:val="24"/>
        </w:rPr>
        <w:t>About the model WHS laws</w:t>
      </w:r>
      <w:bookmarkEnd w:id="25"/>
      <w:bookmarkEnd w:id="27"/>
      <w:bookmarkEnd w:id="28"/>
    </w:p>
    <w:p w14:paraId="3491DEBE" w14:textId="77777777" w:rsidR="00A91A17" w:rsidRPr="007B77E2" w:rsidRDefault="00A91A17" w:rsidP="00B96A63">
      <w:pPr>
        <w:spacing w:after="200"/>
        <w:rPr>
          <w:rFonts w:cstheme="minorHAnsi"/>
          <w:sz w:val="22"/>
          <w:szCs w:val="22"/>
        </w:rPr>
      </w:pPr>
      <w:r w:rsidRPr="007B77E2">
        <w:rPr>
          <w:rFonts w:cstheme="minorHAnsi"/>
          <w:sz w:val="22"/>
          <w:szCs w:val="22"/>
        </w:rPr>
        <w:t>The model WHS laws are designed to protect all workers in Australia, wherever they work and whatever work they do. The laws were developed to provide a national, harmonised framework for WHS regulation in Australia.</w:t>
      </w:r>
    </w:p>
    <w:p w14:paraId="5B1AE860" w14:textId="77777777" w:rsidR="00A91A17" w:rsidRPr="007B77E2" w:rsidRDefault="00A91A17" w:rsidP="00B96A63">
      <w:pPr>
        <w:spacing w:after="200"/>
        <w:rPr>
          <w:rFonts w:cstheme="minorHAnsi"/>
          <w:sz w:val="22"/>
          <w:szCs w:val="22"/>
        </w:rPr>
      </w:pPr>
      <w:r w:rsidRPr="007B77E2">
        <w:rPr>
          <w:rFonts w:cstheme="minorHAnsi"/>
          <w:sz w:val="22"/>
          <w:szCs w:val="22"/>
        </w:rPr>
        <w:t xml:space="preserve">The Commonwealth, the Australian Capital Territory, New South Wales, the Northern Territory, Queensland, South Australia, Tasmania and Western Australia have implemented the model WHS laws. Victoria has its own occupational health and safety laws. </w:t>
      </w:r>
    </w:p>
    <w:p w14:paraId="3251A469" w14:textId="1454E571" w:rsidR="00A91A17" w:rsidRPr="000801AE" w:rsidRDefault="00A91A17" w:rsidP="00EF4DD5">
      <w:pPr>
        <w:pStyle w:val="Heading2"/>
        <w:spacing w:before="240" w:after="60"/>
        <w:rPr>
          <w:rFonts w:asciiTheme="minorHAnsi" w:eastAsiaTheme="minorHAnsi" w:hAnsiTheme="minorHAnsi" w:cstheme="minorHAnsi"/>
          <w:b/>
          <w:iCs/>
          <w:color w:val="6E2F9D"/>
          <w:sz w:val="24"/>
          <w:szCs w:val="24"/>
        </w:rPr>
      </w:pPr>
      <w:bookmarkStart w:id="29" w:name="_Toc166574363"/>
      <w:bookmarkStart w:id="30" w:name="_Toc203021400"/>
      <w:bookmarkStart w:id="31" w:name="_Toc221540311"/>
      <w:r w:rsidRPr="000801AE">
        <w:rPr>
          <w:rFonts w:asciiTheme="minorHAnsi" w:eastAsiaTheme="minorHAnsi" w:hAnsiTheme="minorHAnsi" w:cstheme="minorHAnsi"/>
          <w:b/>
          <w:color w:val="6E2F9D"/>
          <w:sz w:val="24"/>
          <w:szCs w:val="24"/>
        </w:rPr>
        <w:t>H</w:t>
      </w:r>
      <w:r w:rsidR="00823123">
        <w:rPr>
          <w:rFonts w:asciiTheme="minorHAnsi" w:eastAsiaTheme="minorHAnsi" w:hAnsiTheme="minorHAnsi" w:cstheme="minorHAnsi"/>
          <w:b/>
          <w:color w:val="6E2F9D"/>
          <w:sz w:val="24"/>
          <w:szCs w:val="24"/>
        </w:rPr>
        <w:t xml:space="preserve">igh </w:t>
      </w:r>
      <w:r w:rsidRPr="000801AE">
        <w:rPr>
          <w:rFonts w:asciiTheme="minorHAnsi" w:eastAsiaTheme="minorHAnsi" w:hAnsiTheme="minorHAnsi" w:cstheme="minorHAnsi"/>
          <w:b/>
          <w:color w:val="6E2F9D"/>
          <w:sz w:val="24"/>
          <w:szCs w:val="24"/>
        </w:rPr>
        <w:t>R</w:t>
      </w:r>
      <w:r w:rsidR="00823123">
        <w:rPr>
          <w:rFonts w:asciiTheme="minorHAnsi" w:eastAsiaTheme="minorHAnsi" w:hAnsiTheme="minorHAnsi" w:cstheme="minorHAnsi"/>
          <w:b/>
          <w:color w:val="6E2F9D"/>
          <w:sz w:val="24"/>
          <w:szCs w:val="24"/>
        </w:rPr>
        <w:t xml:space="preserve">isk </w:t>
      </w:r>
      <w:r w:rsidRPr="000801AE">
        <w:rPr>
          <w:rFonts w:asciiTheme="minorHAnsi" w:eastAsiaTheme="minorHAnsi" w:hAnsiTheme="minorHAnsi" w:cstheme="minorHAnsi"/>
          <w:b/>
          <w:color w:val="6E2F9D"/>
          <w:sz w:val="24"/>
          <w:szCs w:val="24"/>
        </w:rPr>
        <w:t>W</w:t>
      </w:r>
      <w:r w:rsidR="00823123">
        <w:rPr>
          <w:rFonts w:asciiTheme="minorHAnsi" w:eastAsiaTheme="minorHAnsi" w:hAnsiTheme="minorHAnsi" w:cstheme="minorHAnsi"/>
          <w:b/>
          <w:color w:val="6E2F9D"/>
          <w:sz w:val="24"/>
          <w:szCs w:val="24"/>
        </w:rPr>
        <w:t>ork</w:t>
      </w:r>
      <w:r w:rsidRPr="000801AE">
        <w:rPr>
          <w:rFonts w:asciiTheme="minorHAnsi" w:eastAsiaTheme="minorHAnsi" w:hAnsiTheme="minorHAnsi" w:cstheme="minorHAnsi"/>
          <w:b/>
          <w:color w:val="6E2F9D"/>
          <w:sz w:val="24"/>
          <w:szCs w:val="24"/>
        </w:rPr>
        <w:t xml:space="preserve"> licensing</w:t>
      </w:r>
      <w:bookmarkEnd w:id="29"/>
      <w:bookmarkEnd w:id="30"/>
      <w:bookmarkEnd w:id="31"/>
    </w:p>
    <w:p w14:paraId="3AE27525" w14:textId="0D2737CE" w:rsidR="00B96A63" w:rsidRPr="007B77E2" w:rsidRDefault="00B96A63" w:rsidP="00B96A63">
      <w:pPr>
        <w:spacing w:after="200"/>
        <w:rPr>
          <w:rFonts w:cstheme="minorHAnsi"/>
          <w:sz w:val="22"/>
          <w:szCs w:val="22"/>
        </w:rPr>
      </w:pPr>
      <w:r w:rsidRPr="007B77E2">
        <w:rPr>
          <w:rFonts w:cstheme="minorHAnsi"/>
          <w:sz w:val="22"/>
          <w:szCs w:val="22"/>
        </w:rPr>
        <w:t xml:space="preserve">Under the model WHS laws, certain work activities are deemed to be </w:t>
      </w:r>
      <w:r w:rsidR="00961758">
        <w:rPr>
          <w:rFonts w:cstheme="minorHAnsi"/>
          <w:sz w:val="22"/>
          <w:szCs w:val="22"/>
        </w:rPr>
        <w:t>high risk work (</w:t>
      </w:r>
      <w:r w:rsidRPr="007B77E2">
        <w:rPr>
          <w:rFonts w:cstheme="minorHAnsi"/>
          <w:sz w:val="22"/>
          <w:szCs w:val="22"/>
        </w:rPr>
        <w:t>HRW</w:t>
      </w:r>
      <w:r w:rsidR="00961758">
        <w:rPr>
          <w:rFonts w:cstheme="minorHAnsi"/>
          <w:sz w:val="22"/>
          <w:szCs w:val="22"/>
        </w:rPr>
        <w:t>)</w:t>
      </w:r>
      <w:r w:rsidRPr="007B77E2">
        <w:rPr>
          <w:rFonts w:cstheme="minorHAnsi"/>
          <w:sz w:val="22"/>
          <w:szCs w:val="22"/>
        </w:rPr>
        <w:t xml:space="preserve"> and require a licence to perform them. Schedule 3 to the model WHS Regulations sets out the </w:t>
      </w:r>
      <w:r w:rsidR="004A76E1">
        <w:rPr>
          <w:rFonts w:cstheme="minorHAnsi"/>
          <w:sz w:val="22"/>
          <w:szCs w:val="22"/>
        </w:rPr>
        <w:t>class</w:t>
      </w:r>
      <w:r w:rsidR="004A76E1" w:rsidRPr="007B77E2">
        <w:rPr>
          <w:rFonts w:cstheme="minorHAnsi"/>
          <w:sz w:val="22"/>
          <w:szCs w:val="22"/>
        </w:rPr>
        <w:t xml:space="preserve"> </w:t>
      </w:r>
      <w:r w:rsidRPr="007B77E2">
        <w:rPr>
          <w:rFonts w:cstheme="minorHAnsi"/>
          <w:sz w:val="22"/>
          <w:szCs w:val="22"/>
        </w:rPr>
        <w:t xml:space="preserve">of work that require a licence, including a description of each work activity. Schedule 4 to the model WHS Regulations sets out the vocational education and training (VET) qualifications required for each licence. </w:t>
      </w:r>
    </w:p>
    <w:p w14:paraId="1CB4E396" w14:textId="0C6E4737" w:rsidR="00B96A63" w:rsidRPr="007B77E2" w:rsidRDefault="00B96A63" w:rsidP="00B96A63">
      <w:pPr>
        <w:spacing w:after="200"/>
        <w:rPr>
          <w:rFonts w:cstheme="minorHAnsi"/>
          <w:sz w:val="22"/>
          <w:szCs w:val="22"/>
        </w:rPr>
      </w:pPr>
      <w:r w:rsidRPr="007B77E2">
        <w:rPr>
          <w:rFonts w:cstheme="minorHAnsi"/>
          <w:sz w:val="22"/>
          <w:szCs w:val="22"/>
        </w:rPr>
        <w:lastRenderedPageBreak/>
        <w:t xml:space="preserve">There are </w:t>
      </w:r>
      <w:r w:rsidR="001464AB" w:rsidRPr="007B77E2">
        <w:rPr>
          <w:rFonts w:cstheme="minorHAnsi"/>
          <w:sz w:val="22"/>
          <w:szCs w:val="22"/>
        </w:rPr>
        <w:t>currently</w:t>
      </w:r>
      <w:r w:rsidR="003620A3" w:rsidRPr="007B77E2">
        <w:rPr>
          <w:rFonts w:cstheme="minorHAnsi"/>
          <w:sz w:val="22"/>
          <w:szCs w:val="22"/>
        </w:rPr>
        <w:t xml:space="preserve"> </w:t>
      </w:r>
      <w:r w:rsidR="00150007" w:rsidRPr="007B77E2">
        <w:rPr>
          <w:rFonts w:cstheme="minorHAnsi"/>
          <w:sz w:val="22"/>
          <w:szCs w:val="22"/>
        </w:rPr>
        <w:t>1</w:t>
      </w:r>
      <w:r w:rsidR="00150007">
        <w:rPr>
          <w:rFonts w:cstheme="minorHAnsi"/>
          <w:sz w:val="22"/>
          <w:szCs w:val="22"/>
        </w:rPr>
        <w:t>2</w:t>
      </w:r>
      <w:r w:rsidR="00150007" w:rsidRPr="007B77E2">
        <w:rPr>
          <w:rFonts w:cstheme="minorHAnsi"/>
          <w:sz w:val="22"/>
          <w:szCs w:val="22"/>
        </w:rPr>
        <w:t xml:space="preserve"> </w:t>
      </w:r>
      <w:r w:rsidRPr="007B77E2">
        <w:rPr>
          <w:rFonts w:cstheme="minorHAnsi"/>
          <w:sz w:val="22"/>
          <w:szCs w:val="22"/>
        </w:rPr>
        <w:t xml:space="preserve">types of cranes that require a HRW licence to operate. A crane HRW licence (crane licence) allows a person to use a crane in a particular licence class anywhere in Australia, including Victoria, </w:t>
      </w:r>
      <w:r w:rsidR="003F42C6">
        <w:rPr>
          <w:rFonts w:cstheme="minorHAnsi"/>
          <w:sz w:val="22"/>
          <w:szCs w:val="22"/>
        </w:rPr>
        <w:t>even though the</w:t>
      </w:r>
      <w:r w:rsidRPr="007B77E2">
        <w:rPr>
          <w:rFonts w:cstheme="minorHAnsi"/>
          <w:sz w:val="22"/>
          <w:szCs w:val="22"/>
        </w:rPr>
        <w:t xml:space="preserve"> state </w:t>
      </w:r>
      <w:r w:rsidR="003F42C6">
        <w:rPr>
          <w:rFonts w:cstheme="minorHAnsi"/>
          <w:sz w:val="22"/>
          <w:szCs w:val="22"/>
        </w:rPr>
        <w:t xml:space="preserve">has not adopted the </w:t>
      </w:r>
      <w:r w:rsidR="00833A3A" w:rsidRPr="007B77E2">
        <w:rPr>
          <w:rFonts w:cstheme="minorHAnsi"/>
          <w:sz w:val="22"/>
          <w:szCs w:val="22"/>
        </w:rPr>
        <w:t xml:space="preserve">model </w:t>
      </w:r>
      <w:r w:rsidR="00F17810" w:rsidRPr="007B77E2">
        <w:rPr>
          <w:rFonts w:cstheme="minorHAnsi"/>
          <w:sz w:val="22"/>
          <w:szCs w:val="22"/>
        </w:rPr>
        <w:t xml:space="preserve">WHS </w:t>
      </w:r>
      <w:r w:rsidR="00833A3A" w:rsidRPr="007B77E2">
        <w:rPr>
          <w:rFonts w:cstheme="minorHAnsi"/>
          <w:sz w:val="22"/>
          <w:szCs w:val="22"/>
        </w:rPr>
        <w:t>la</w:t>
      </w:r>
      <w:r w:rsidR="00F17810" w:rsidRPr="007B77E2">
        <w:rPr>
          <w:rFonts w:cstheme="minorHAnsi"/>
          <w:sz w:val="22"/>
          <w:szCs w:val="22"/>
        </w:rPr>
        <w:t>w</w:t>
      </w:r>
      <w:r w:rsidR="003F42C6">
        <w:rPr>
          <w:rFonts w:cstheme="minorHAnsi"/>
          <w:sz w:val="22"/>
          <w:szCs w:val="22"/>
        </w:rPr>
        <w:t>s</w:t>
      </w:r>
      <w:r w:rsidR="00F17810" w:rsidRPr="007B77E2">
        <w:rPr>
          <w:rFonts w:cstheme="minorHAnsi"/>
          <w:sz w:val="22"/>
          <w:szCs w:val="22"/>
        </w:rPr>
        <w:t>.</w:t>
      </w:r>
    </w:p>
    <w:p w14:paraId="628BAE7B" w14:textId="77777777" w:rsidR="00B96A63" w:rsidRPr="002E104E" w:rsidRDefault="00B96A63" w:rsidP="00B96A63">
      <w:pPr>
        <w:spacing w:after="200"/>
        <w:rPr>
          <w:rFonts w:cstheme="minorHAnsi"/>
          <w:sz w:val="22"/>
          <w:szCs w:val="22"/>
        </w:rPr>
      </w:pPr>
      <w:r w:rsidRPr="002E104E">
        <w:rPr>
          <w:rFonts w:cstheme="minorHAnsi"/>
          <w:sz w:val="22"/>
          <w:szCs w:val="22"/>
        </w:rPr>
        <w:t xml:space="preserve">Further information on HRW licensing is provided in </w:t>
      </w:r>
      <w:r w:rsidRPr="002E104E">
        <w:rPr>
          <w:rFonts w:cstheme="minorHAnsi"/>
          <w:sz w:val="22"/>
          <w:szCs w:val="22"/>
          <w:u w:val="single"/>
        </w:rPr>
        <w:t>Appendix B</w:t>
      </w:r>
      <w:r w:rsidRPr="002E104E">
        <w:rPr>
          <w:rFonts w:cstheme="minorHAnsi"/>
          <w:sz w:val="22"/>
          <w:szCs w:val="22"/>
        </w:rPr>
        <w:t>.</w:t>
      </w:r>
    </w:p>
    <w:p w14:paraId="23B19F58" w14:textId="77777777" w:rsidR="00B96A63" w:rsidRPr="000801AE" w:rsidRDefault="00B96A63" w:rsidP="00EF4DD5">
      <w:pPr>
        <w:pStyle w:val="Heading2"/>
        <w:spacing w:before="240" w:after="60"/>
        <w:rPr>
          <w:rFonts w:asciiTheme="minorHAnsi" w:eastAsiaTheme="minorHAnsi" w:hAnsiTheme="minorHAnsi" w:cstheme="minorHAnsi"/>
          <w:b/>
          <w:iCs/>
          <w:color w:val="6E2F9D"/>
          <w:sz w:val="24"/>
          <w:szCs w:val="24"/>
        </w:rPr>
      </w:pPr>
      <w:bookmarkStart w:id="32" w:name="_Toc166574364"/>
      <w:bookmarkStart w:id="33" w:name="_Toc203021401"/>
      <w:bookmarkStart w:id="34" w:name="_Toc221540312"/>
      <w:r w:rsidRPr="000801AE">
        <w:rPr>
          <w:rFonts w:asciiTheme="minorHAnsi" w:eastAsiaTheme="minorHAnsi" w:hAnsiTheme="minorHAnsi" w:cstheme="minorHAnsi"/>
          <w:b/>
          <w:color w:val="6E2F9D"/>
          <w:sz w:val="24"/>
          <w:szCs w:val="24"/>
        </w:rPr>
        <w:t>Vocational Education and Training</w:t>
      </w:r>
      <w:bookmarkEnd w:id="32"/>
      <w:bookmarkEnd w:id="33"/>
      <w:bookmarkEnd w:id="34"/>
    </w:p>
    <w:p w14:paraId="703AB3B4" w14:textId="77777777" w:rsidR="00B96A63" w:rsidRPr="002E104E" w:rsidRDefault="00B96A63" w:rsidP="00290598">
      <w:pPr>
        <w:rPr>
          <w:rFonts w:cstheme="minorHAnsi"/>
          <w:sz w:val="22"/>
          <w:szCs w:val="22"/>
        </w:rPr>
      </w:pPr>
      <w:r w:rsidRPr="002E104E">
        <w:rPr>
          <w:rFonts w:cstheme="minorHAnsi"/>
          <w:sz w:val="22"/>
          <w:szCs w:val="22"/>
        </w:rPr>
        <w:t>Schedule 4 to the model WHS Regulations specifies the VET course required for each HRW licence class. These courses are components of nationally recognised training packages developed by Jobs and Skills Councils (JSCs). They define the knowledge and skills required by individuals to perform safely in the workplace.</w:t>
      </w:r>
    </w:p>
    <w:p w14:paraId="0C52A734" w14:textId="6C04A24E" w:rsidR="00CA74D8" w:rsidRPr="002E104E" w:rsidRDefault="00B96A63" w:rsidP="00114822">
      <w:pPr>
        <w:spacing w:after="200"/>
        <w:rPr>
          <w:rFonts w:cstheme="minorHAnsi"/>
          <w:sz w:val="22"/>
          <w:szCs w:val="22"/>
        </w:rPr>
      </w:pPr>
      <w:r w:rsidRPr="002E104E">
        <w:rPr>
          <w:rFonts w:cstheme="minorHAnsi"/>
          <w:sz w:val="22"/>
          <w:szCs w:val="22"/>
        </w:rPr>
        <w:t xml:space="preserve">Any changes to licence classes or the definition of licensed activities agreed by WHS ministers may require changes to specified VET courses. For example, existing courses may need to be revised or new courses developed. </w:t>
      </w:r>
      <w:r w:rsidR="004804E4">
        <w:rPr>
          <w:rFonts w:cstheme="minorHAnsi"/>
          <w:sz w:val="22"/>
          <w:szCs w:val="22"/>
        </w:rPr>
        <w:t>The Agency</w:t>
      </w:r>
      <w:r w:rsidRPr="002E104E">
        <w:rPr>
          <w:rFonts w:cstheme="minorHAnsi"/>
          <w:sz w:val="22"/>
          <w:szCs w:val="22"/>
        </w:rPr>
        <w:t xml:space="preserve"> will liaise with the responsible JSCs to manage any consequential changes to </w:t>
      </w:r>
      <w:r w:rsidR="00815CCF" w:rsidRPr="002E104E">
        <w:rPr>
          <w:rFonts w:cstheme="minorHAnsi"/>
          <w:sz w:val="22"/>
          <w:szCs w:val="22"/>
        </w:rPr>
        <w:t xml:space="preserve">specified VET courses </w:t>
      </w:r>
      <w:r w:rsidRPr="002E104E">
        <w:rPr>
          <w:rFonts w:cstheme="minorHAnsi"/>
          <w:sz w:val="22"/>
          <w:szCs w:val="22"/>
        </w:rPr>
        <w:t>where required.</w:t>
      </w:r>
    </w:p>
    <w:p w14:paraId="537A6FCA" w14:textId="15452255" w:rsidR="00BB0F5A" w:rsidRDefault="00245FBE" w:rsidP="00B63C7C">
      <w:pPr>
        <w:pStyle w:val="SWAHeading1"/>
      </w:pPr>
      <w:bookmarkStart w:id="35" w:name="_Toc203021402"/>
      <w:bookmarkStart w:id="36" w:name="_Toc221540313"/>
      <w:bookmarkStart w:id="37" w:name="_Hlk157615745"/>
      <w:bookmarkStart w:id="38" w:name="_Hlk157615793"/>
      <w:r>
        <w:lastRenderedPageBreak/>
        <w:t>How to provide feedback</w:t>
      </w:r>
      <w:bookmarkEnd w:id="35"/>
      <w:bookmarkEnd w:id="36"/>
    </w:p>
    <w:p w14:paraId="270B8266" w14:textId="6343AF35" w:rsidR="00245FBE" w:rsidRPr="002E104E" w:rsidRDefault="00551E38" w:rsidP="00660243">
      <w:pPr>
        <w:rPr>
          <w:rFonts w:cstheme="minorHAnsi"/>
          <w:sz w:val="22"/>
          <w:szCs w:val="22"/>
        </w:rPr>
      </w:pPr>
      <w:r>
        <w:rPr>
          <w:rFonts w:cstheme="minorHAnsi"/>
          <w:sz w:val="22"/>
          <w:szCs w:val="22"/>
        </w:rPr>
        <w:t>The Agency</w:t>
      </w:r>
      <w:r w:rsidR="00245FBE" w:rsidRPr="002E104E">
        <w:rPr>
          <w:rFonts w:cstheme="minorHAnsi"/>
          <w:sz w:val="22"/>
          <w:szCs w:val="22"/>
        </w:rPr>
        <w:t xml:space="preserve"> welcomes submissions from all interested stakeholders, including duty holders, regulators, government agencies, unions, workers, </w:t>
      </w:r>
      <w:r w:rsidR="003F42C6">
        <w:rPr>
          <w:rFonts w:cstheme="minorHAnsi"/>
          <w:sz w:val="22"/>
          <w:szCs w:val="22"/>
        </w:rPr>
        <w:t xml:space="preserve">business and industry representatives, </w:t>
      </w:r>
      <w:r w:rsidR="00245FBE" w:rsidRPr="002E104E">
        <w:rPr>
          <w:rFonts w:cstheme="minorHAnsi"/>
          <w:sz w:val="22"/>
          <w:szCs w:val="22"/>
        </w:rPr>
        <w:t>legal professionals, researchers, members of the public and other parties who may be affected by implementation of the proposed options included in this consultation paper or have expertise in a relevant field.</w:t>
      </w:r>
    </w:p>
    <w:p w14:paraId="44C76243" w14:textId="52DF8CA1" w:rsidR="00245FBE" w:rsidRPr="002E104E" w:rsidRDefault="002B5112" w:rsidP="00660243">
      <w:pPr>
        <w:rPr>
          <w:rFonts w:cstheme="minorHAnsi"/>
          <w:sz w:val="22"/>
          <w:szCs w:val="22"/>
        </w:rPr>
      </w:pPr>
      <w:r w:rsidRPr="002E104E">
        <w:rPr>
          <w:rFonts w:eastAsia="Batang" w:cstheme="minorHAnsi"/>
          <w:sz w:val="22"/>
          <w:szCs w:val="22"/>
        </w:rPr>
        <w:t xml:space="preserve">You may answer some or </w:t>
      </w:r>
      <w:proofErr w:type="gramStart"/>
      <w:r w:rsidRPr="002E104E">
        <w:rPr>
          <w:rFonts w:eastAsia="Batang" w:cstheme="minorHAnsi"/>
          <w:sz w:val="22"/>
          <w:szCs w:val="22"/>
        </w:rPr>
        <w:t>all of</w:t>
      </w:r>
      <w:proofErr w:type="gramEnd"/>
      <w:r w:rsidRPr="002E104E">
        <w:rPr>
          <w:rFonts w:eastAsia="Batang" w:cstheme="minorHAnsi"/>
          <w:sz w:val="22"/>
          <w:szCs w:val="22"/>
        </w:rPr>
        <w:t xml:space="preserve"> the questions posed in this paper or raise other matters not explicitly addressed, </w:t>
      </w:r>
      <w:proofErr w:type="gramStart"/>
      <w:r w:rsidRPr="002E104E">
        <w:rPr>
          <w:rFonts w:eastAsia="Batang" w:cstheme="minorHAnsi"/>
          <w:sz w:val="22"/>
          <w:szCs w:val="22"/>
        </w:rPr>
        <w:t>as long as</w:t>
      </w:r>
      <w:proofErr w:type="gramEnd"/>
      <w:r w:rsidRPr="002E104E">
        <w:rPr>
          <w:rFonts w:eastAsia="Batang" w:cstheme="minorHAnsi"/>
          <w:sz w:val="22"/>
          <w:szCs w:val="22"/>
        </w:rPr>
        <w:t xml:space="preserve"> it is relevant to crane</w:t>
      </w:r>
      <w:r w:rsidR="005A1B99" w:rsidRPr="002E104E">
        <w:rPr>
          <w:rFonts w:eastAsia="Batang" w:cstheme="minorHAnsi"/>
          <w:sz w:val="22"/>
          <w:szCs w:val="22"/>
        </w:rPr>
        <w:t>s used in</w:t>
      </w:r>
      <w:r w:rsidR="006B4733" w:rsidRPr="002E104E">
        <w:rPr>
          <w:rFonts w:eastAsia="Batang" w:cstheme="minorHAnsi"/>
          <w:sz w:val="22"/>
          <w:szCs w:val="22"/>
        </w:rPr>
        <w:t xml:space="preserve"> the port and maritime sectors</w:t>
      </w:r>
      <w:r w:rsidRPr="002E104E">
        <w:rPr>
          <w:rFonts w:eastAsia="Batang" w:cstheme="minorHAnsi"/>
          <w:sz w:val="22"/>
          <w:szCs w:val="22"/>
        </w:rPr>
        <w:t xml:space="preserve">. </w:t>
      </w:r>
      <w:r w:rsidR="00245FBE" w:rsidRPr="002E104E">
        <w:rPr>
          <w:rFonts w:cstheme="minorHAnsi"/>
          <w:sz w:val="22"/>
          <w:szCs w:val="22"/>
        </w:rPr>
        <w:t>Please support your views with evidence or data where possible. There is no limit to the length of submissions.</w:t>
      </w:r>
    </w:p>
    <w:p w14:paraId="30118214" w14:textId="77777777" w:rsidR="00245FBE" w:rsidRPr="002E104E" w:rsidRDefault="00245FBE" w:rsidP="0010073D">
      <w:pPr>
        <w:rPr>
          <w:rFonts w:cstheme="minorHAnsi"/>
          <w:sz w:val="22"/>
          <w:szCs w:val="22"/>
        </w:rPr>
      </w:pPr>
      <w:r w:rsidRPr="002E104E">
        <w:rPr>
          <w:rFonts w:cstheme="minorHAnsi"/>
          <w:sz w:val="22"/>
          <w:szCs w:val="22"/>
        </w:rPr>
        <w:t>You can also raise a matter not specifically addressed in the consultation paper, but relevant to the topic of cranes used in the maritime sector.</w:t>
      </w:r>
    </w:p>
    <w:p w14:paraId="48336076" w14:textId="77777777" w:rsidR="00EC364B" w:rsidRPr="000801AE" w:rsidRDefault="00EC364B" w:rsidP="00EC364B">
      <w:pPr>
        <w:pStyle w:val="Heading2"/>
        <w:spacing w:before="240" w:after="60"/>
        <w:rPr>
          <w:rFonts w:asciiTheme="minorHAnsi" w:eastAsiaTheme="minorHAnsi" w:hAnsiTheme="minorHAnsi" w:cstheme="minorHAnsi"/>
          <w:b/>
          <w:iCs/>
          <w:color w:val="6E2F9D"/>
          <w:sz w:val="24"/>
          <w:szCs w:val="24"/>
        </w:rPr>
      </w:pPr>
      <w:bookmarkStart w:id="39" w:name="_Toc166574366"/>
      <w:bookmarkStart w:id="40" w:name="_Toc203021403"/>
      <w:bookmarkStart w:id="41" w:name="_Toc221540314"/>
      <w:r w:rsidRPr="000801AE">
        <w:rPr>
          <w:rFonts w:asciiTheme="minorHAnsi" w:eastAsiaTheme="minorHAnsi" w:hAnsiTheme="minorHAnsi" w:cstheme="minorHAnsi"/>
          <w:b/>
          <w:color w:val="6E2F9D"/>
          <w:sz w:val="24"/>
          <w:szCs w:val="24"/>
        </w:rPr>
        <w:t>Making a submission</w:t>
      </w:r>
      <w:bookmarkEnd w:id="39"/>
      <w:bookmarkEnd w:id="40"/>
      <w:bookmarkEnd w:id="41"/>
    </w:p>
    <w:p w14:paraId="760867BB" w14:textId="0851FBE4" w:rsidR="00EC364B" w:rsidRPr="002E104E" w:rsidRDefault="00EC364B" w:rsidP="00EC364B">
      <w:pPr>
        <w:rPr>
          <w:rFonts w:eastAsia="Batang" w:cstheme="minorHAnsi"/>
          <w:sz w:val="22"/>
          <w:szCs w:val="22"/>
        </w:rPr>
      </w:pPr>
      <w:r w:rsidRPr="002E104E">
        <w:rPr>
          <w:rFonts w:eastAsia="Batang" w:cstheme="minorHAnsi"/>
          <w:sz w:val="22"/>
          <w:szCs w:val="22"/>
        </w:rPr>
        <w:t xml:space="preserve">Submissions are sought by </w:t>
      </w:r>
      <w:r w:rsidRPr="002E104E">
        <w:rPr>
          <w:rFonts w:eastAsia="Batang" w:cstheme="minorHAnsi"/>
          <w:b/>
          <w:sz w:val="22"/>
          <w:szCs w:val="22"/>
        </w:rPr>
        <w:t xml:space="preserve">11:59 pm (AEST) on </w:t>
      </w:r>
      <w:r w:rsidR="0031181B">
        <w:rPr>
          <w:rFonts w:eastAsia="Batang" w:cstheme="minorHAnsi"/>
          <w:b/>
          <w:sz w:val="22"/>
          <w:szCs w:val="22"/>
        </w:rPr>
        <w:t>27 April</w:t>
      </w:r>
      <w:r w:rsidRPr="002E104E">
        <w:rPr>
          <w:rFonts w:eastAsia="Batang" w:cstheme="minorHAnsi"/>
          <w:b/>
          <w:sz w:val="22"/>
          <w:szCs w:val="22"/>
        </w:rPr>
        <w:t xml:space="preserve"> </w:t>
      </w:r>
      <w:r w:rsidR="009C7176" w:rsidRPr="002E104E">
        <w:rPr>
          <w:rFonts w:eastAsia="Batang" w:cstheme="minorHAnsi"/>
          <w:b/>
          <w:sz w:val="22"/>
          <w:szCs w:val="22"/>
        </w:rPr>
        <w:t>202</w:t>
      </w:r>
      <w:r w:rsidR="009C7176">
        <w:rPr>
          <w:rFonts w:eastAsia="Batang" w:cstheme="minorHAnsi"/>
          <w:b/>
          <w:sz w:val="22"/>
          <w:szCs w:val="22"/>
        </w:rPr>
        <w:t>6</w:t>
      </w:r>
      <w:r w:rsidRPr="002E104E">
        <w:rPr>
          <w:rFonts w:eastAsia="Batang" w:cstheme="minorHAnsi"/>
          <w:sz w:val="22"/>
          <w:szCs w:val="22"/>
        </w:rPr>
        <w:t xml:space="preserve">. Submissions can be made using </w:t>
      </w:r>
      <w:r w:rsidR="0096054D">
        <w:rPr>
          <w:rFonts w:eastAsia="Batang" w:cstheme="minorHAnsi"/>
          <w:sz w:val="22"/>
          <w:szCs w:val="22"/>
        </w:rPr>
        <w:t>the Agency’s</w:t>
      </w:r>
      <w:r w:rsidRPr="002E104E">
        <w:rPr>
          <w:rFonts w:eastAsia="Batang" w:cstheme="minorHAnsi"/>
          <w:sz w:val="22"/>
          <w:szCs w:val="22"/>
        </w:rPr>
        <w:t xml:space="preserve"> </w:t>
      </w:r>
      <w:hyperlink r:id="rId23" w:history="1">
        <w:r w:rsidR="00E51FC0" w:rsidRPr="005A4CA4">
          <w:rPr>
            <w:rStyle w:val="Hyperlink"/>
            <w:sz w:val="22"/>
            <w:szCs w:val="22"/>
          </w:rPr>
          <w:t>Consultation Hub</w:t>
        </w:r>
      </w:hyperlink>
      <w:r w:rsidRPr="002E104E">
        <w:rPr>
          <w:rFonts w:eastAsia="Batang" w:cstheme="minorHAnsi"/>
          <w:sz w:val="22"/>
          <w:szCs w:val="22"/>
        </w:rPr>
        <w:t xml:space="preserve"> at consult.swa.gov.au.</w:t>
      </w:r>
    </w:p>
    <w:p w14:paraId="3E4352FA" w14:textId="3B805B1C" w:rsidR="00250C2D" w:rsidRPr="002E104E" w:rsidRDefault="00EC364B" w:rsidP="00EC364B">
      <w:pPr>
        <w:rPr>
          <w:rFonts w:cstheme="minorHAnsi"/>
          <w:sz w:val="22"/>
          <w:szCs w:val="22"/>
        </w:rPr>
      </w:pPr>
      <w:r w:rsidRPr="002E104E">
        <w:rPr>
          <w:rFonts w:eastAsia="Batang" w:cstheme="minorHAnsi"/>
          <w:sz w:val="22"/>
          <w:szCs w:val="22"/>
        </w:rPr>
        <w:t>Demographic data will be collected as part of this process through your registration and in the electronic submission form.</w:t>
      </w:r>
    </w:p>
    <w:p w14:paraId="2AB7F5A9" w14:textId="550FB172" w:rsidR="00245FBE" w:rsidRPr="002E104E" w:rsidRDefault="00245FBE" w:rsidP="0010073D">
      <w:pPr>
        <w:rPr>
          <w:rFonts w:cstheme="minorHAnsi"/>
          <w:sz w:val="22"/>
          <w:szCs w:val="22"/>
        </w:rPr>
      </w:pPr>
      <w:r w:rsidRPr="002E104E">
        <w:rPr>
          <w:rFonts w:cstheme="minorHAnsi"/>
          <w:sz w:val="22"/>
          <w:szCs w:val="22"/>
        </w:rPr>
        <w:t xml:space="preserve">If you are unable to lodge your submission using the Consultation Hub, please email  </w:t>
      </w:r>
      <w:hyperlink r:id="rId24" w:history="1">
        <w:r w:rsidR="00BE42CB" w:rsidRPr="00841360">
          <w:rPr>
            <w:rStyle w:val="Hyperlink"/>
            <w:sz w:val="22"/>
            <w:szCs w:val="22"/>
          </w:rPr>
          <w:t>highriskwork@swa.gov.au</w:t>
        </w:r>
      </w:hyperlink>
      <w:r w:rsidRPr="002E104E">
        <w:rPr>
          <w:rFonts w:cstheme="minorHAnsi"/>
          <w:sz w:val="22"/>
          <w:szCs w:val="22"/>
        </w:rPr>
        <w:t>.</w:t>
      </w:r>
    </w:p>
    <w:p w14:paraId="6E58174E" w14:textId="77777777" w:rsidR="00245FBE" w:rsidRPr="002E104E" w:rsidRDefault="00245FBE" w:rsidP="00D52F67">
      <w:pPr>
        <w:rPr>
          <w:rFonts w:cstheme="minorHAnsi"/>
          <w:sz w:val="22"/>
          <w:szCs w:val="22"/>
        </w:rPr>
      </w:pPr>
      <w:r w:rsidRPr="002E104E">
        <w:rPr>
          <w:rFonts w:cstheme="minorHAnsi"/>
          <w:sz w:val="22"/>
          <w:szCs w:val="22"/>
        </w:rPr>
        <w:t>Respondents may choose how their submission is published on the Safe Work Australia Consultation Hub by choosing from the following options:</w:t>
      </w:r>
    </w:p>
    <w:p w14:paraId="4482ED0B" w14:textId="77777777" w:rsidR="00245FBE" w:rsidRPr="002E104E" w:rsidRDefault="00245FBE" w:rsidP="00D52F67">
      <w:pPr>
        <w:pStyle w:val="ListBullet"/>
        <w:spacing w:after="60"/>
        <w:rPr>
          <w:sz w:val="22"/>
          <w:szCs w:val="22"/>
        </w:rPr>
      </w:pPr>
      <w:r w:rsidRPr="002E104E">
        <w:rPr>
          <w:sz w:val="22"/>
          <w:szCs w:val="22"/>
        </w:rPr>
        <w:t>submission published</w:t>
      </w:r>
    </w:p>
    <w:p w14:paraId="6DCC9370" w14:textId="77777777" w:rsidR="00245FBE" w:rsidRPr="002E104E" w:rsidRDefault="00245FBE" w:rsidP="00D52F67">
      <w:pPr>
        <w:pStyle w:val="ListBullet"/>
        <w:spacing w:after="60"/>
        <w:rPr>
          <w:sz w:val="22"/>
          <w:szCs w:val="22"/>
        </w:rPr>
      </w:pPr>
      <w:r w:rsidRPr="002E104E">
        <w:rPr>
          <w:sz w:val="22"/>
          <w:szCs w:val="22"/>
        </w:rPr>
        <w:t>submission published anonymously, or</w:t>
      </w:r>
    </w:p>
    <w:p w14:paraId="5C4124B9" w14:textId="77777777" w:rsidR="00245FBE" w:rsidRPr="002E104E" w:rsidRDefault="00245FBE" w:rsidP="00245FBE">
      <w:pPr>
        <w:pStyle w:val="ListBullet"/>
        <w:rPr>
          <w:sz w:val="22"/>
          <w:szCs w:val="22"/>
        </w:rPr>
      </w:pPr>
      <w:r w:rsidRPr="002E104E">
        <w:rPr>
          <w:sz w:val="22"/>
          <w:szCs w:val="22"/>
        </w:rPr>
        <w:t>submission not published.</w:t>
      </w:r>
    </w:p>
    <w:p w14:paraId="5E2449F5" w14:textId="77777777" w:rsidR="00905B8E" w:rsidRDefault="00245FBE" w:rsidP="00905B8E">
      <w:r w:rsidRPr="002E104E">
        <w:rPr>
          <w:rFonts w:cstheme="minorHAnsi"/>
          <w:sz w:val="22"/>
          <w:szCs w:val="22"/>
        </w:rPr>
        <w:t xml:space="preserve">For further information on the publication of submissions on the Consultation Hub, please refer to </w:t>
      </w:r>
      <w:r w:rsidRPr="00905B8E">
        <w:rPr>
          <w:rFonts w:cstheme="minorHAnsi"/>
          <w:sz w:val="22"/>
          <w:szCs w:val="22"/>
        </w:rPr>
        <w:t xml:space="preserve">the </w:t>
      </w:r>
      <w:hyperlink r:id="rId25" w:history="1">
        <w:r w:rsidR="0033196A" w:rsidRPr="00905B8E">
          <w:rPr>
            <w:rStyle w:val="Hyperlink"/>
            <w:sz w:val="22"/>
            <w:szCs w:val="22"/>
          </w:rPr>
          <w:t>Consultation Hub privacy information</w:t>
        </w:r>
      </w:hyperlink>
      <w:r w:rsidR="0033196A" w:rsidRPr="00905B8E">
        <w:rPr>
          <w:sz w:val="22"/>
          <w:szCs w:val="22"/>
        </w:rPr>
        <w:t xml:space="preserve"> and the </w:t>
      </w:r>
      <w:hyperlink r:id="rId26" w:history="1">
        <w:r w:rsidR="0033196A" w:rsidRPr="00905B8E">
          <w:rPr>
            <w:color w:val="4877E0" w:themeColor="hyperlink"/>
            <w:sz w:val="22"/>
            <w:szCs w:val="22"/>
            <w:u w:val="single"/>
          </w:rPr>
          <w:t>Safe Work Australia Privacy Policy</w:t>
        </w:r>
      </w:hyperlink>
      <w:r w:rsidR="00905B8E">
        <w:t xml:space="preserve">. </w:t>
      </w:r>
    </w:p>
    <w:p w14:paraId="718D7756" w14:textId="385CE70D" w:rsidR="00245FBE" w:rsidRDefault="00245FBE" w:rsidP="00905B8E">
      <w:pPr>
        <w:rPr>
          <w:rFonts w:cstheme="minorHAnsi"/>
          <w:sz w:val="22"/>
          <w:szCs w:val="22"/>
        </w:rPr>
      </w:pPr>
      <w:r w:rsidRPr="002E104E">
        <w:rPr>
          <w:rFonts w:cstheme="minorHAnsi"/>
          <w:sz w:val="22"/>
          <w:szCs w:val="22"/>
        </w:rPr>
        <w:t xml:space="preserve">Enquiries can be directed to: Industries and High Risk Work Team by email: </w:t>
      </w:r>
      <w:hyperlink r:id="rId27" w:history="1">
        <w:r w:rsidR="00BD3F7C" w:rsidRPr="00BD3F7C">
          <w:rPr>
            <w:rStyle w:val="Hyperlink"/>
            <w:sz w:val="22"/>
            <w:szCs w:val="22"/>
          </w:rPr>
          <w:t>highriskwork@swa.gov.au</w:t>
        </w:r>
      </w:hyperlink>
      <w:r w:rsidR="00BD3F7C">
        <w:t>.</w:t>
      </w:r>
    </w:p>
    <w:p w14:paraId="539124F1" w14:textId="77777777" w:rsidR="009243F6" w:rsidRDefault="009243F6" w:rsidP="00A77E25">
      <w:pPr>
        <w:spacing w:after="200"/>
        <w:rPr>
          <w:rFonts w:cstheme="minorHAnsi"/>
          <w:sz w:val="22"/>
          <w:szCs w:val="22"/>
        </w:rPr>
      </w:pPr>
    </w:p>
    <w:p w14:paraId="66FEDDB9" w14:textId="77777777" w:rsidR="009243F6" w:rsidRDefault="009243F6" w:rsidP="00A77E25">
      <w:pPr>
        <w:spacing w:after="200"/>
        <w:rPr>
          <w:rFonts w:cstheme="minorHAnsi"/>
          <w:sz w:val="22"/>
          <w:szCs w:val="22"/>
        </w:rPr>
      </w:pPr>
    </w:p>
    <w:p w14:paraId="0BD5C835" w14:textId="77777777" w:rsidR="009243F6" w:rsidRDefault="009243F6" w:rsidP="00A77E25">
      <w:pPr>
        <w:spacing w:after="200"/>
        <w:rPr>
          <w:rFonts w:cstheme="minorHAnsi"/>
          <w:sz w:val="22"/>
          <w:szCs w:val="22"/>
        </w:rPr>
      </w:pPr>
    </w:p>
    <w:p w14:paraId="6679ACB2" w14:textId="77777777" w:rsidR="009243F6" w:rsidRDefault="009243F6" w:rsidP="00A77E25">
      <w:pPr>
        <w:spacing w:after="200"/>
        <w:rPr>
          <w:rFonts w:cstheme="minorHAnsi"/>
          <w:sz w:val="22"/>
          <w:szCs w:val="22"/>
        </w:rPr>
      </w:pPr>
    </w:p>
    <w:p w14:paraId="5C6C5F84" w14:textId="77777777" w:rsidR="009243F6" w:rsidRDefault="009243F6" w:rsidP="00A77E25">
      <w:pPr>
        <w:spacing w:after="200"/>
        <w:rPr>
          <w:rFonts w:cstheme="minorHAnsi"/>
          <w:sz w:val="22"/>
          <w:szCs w:val="22"/>
        </w:rPr>
      </w:pPr>
    </w:p>
    <w:p w14:paraId="518A9AA9" w14:textId="77777777" w:rsidR="009243F6" w:rsidRDefault="009243F6" w:rsidP="00A77E25">
      <w:pPr>
        <w:spacing w:after="200"/>
        <w:rPr>
          <w:rFonts w:cstheme="minorHAnsi"/>
          <w:sz w:val="22"/>
          <w:szCs w:val="22"/>
        </w:rPr>
      </w:pPr>
    </w:p>
    <w:p w14:paraId="16E1B401" w14:textId="77777777" w:rsidR="009243F6" w:rsidRDefault="009243F6" w:rsidP="00A77E25">
      <w:pPr>
        <w:spacing w:after="200"/>
        <w:rPr>
          <w:rFonts w:cstheme="minorHAnsi"/>
          <w:sz w:val="22"/>
          <w:szCs w:val="22"/>
        </w:rPr>
      </w:pPr>
    </w:p>
    <w:p w14:paraId="6F7332F8" w14:textId="77777777" w:rsidR="009243F6" w:rsidRDefault="009243F6" w:rsidP="00A77E25">
      <w:pPr>
        <w:spacing w:after="200"/>
        <w:rPr>
          <w:rFonts w:cstheme="minorHAnsi"/>
          <w:sz w:val="22"/>
          <w:szCs w:val="22"/>
        </w:rPr>
      </w:pPr>
    </w:p>
    <w:p w14:paraId="2588D119" w14:textId="7013C561" w:rsidR="009243F6" w:rsidRDefault="009243F6" w:rsidP="009243F6">
      <w:pPr>
        <w:pStyle w:val="SWAHeading1"/>
        <w:rPr>
          <w:sz w:val="36"/>
          <w:szCs w:val="36"/>
        </w:rPr>
      </w:pPr>
      <w:bookmarkStart w:id="42" w:name="_Toc201662846"/>
      <w:bookmarkStart w:id="43" w:name="_Toc221540315"/>
      <w:r w:rsidRPr="00672B94">
        <w:rPr>
          <w:sz w:val="36"/>
          <w:szCs w:val="36"/>
        </w:rPr>
        <w:lastRenderedPageBreak/>
        <w:t>Current arrangements for</w:t>
      </w:r>
      <w:bookmarkEnd w:id="42"/>
      <w:r>
        <w:rPr>
          <w:sz w:val="36"/>
          <w:szCs w:val="36"/>
        </w:rPr>
        <w:t xml:space="preserve"> cranes in the maritime industry</w:t>
      </w:r>
      <w:bookmarkEnd w:id="43"/>
    </w:p>
    <w:p w14:paraId="6A6150FD" w14:textId="5B014F6B" w:rsidR="00BF0F0F" w:rsidRPr="00BF0F0F" w:rsidRDefault="00BF0F0F" w:rsidP="00BF0F0F">
      <w:pPr>
        <w:pStyle w:val="SWAHeading2"/>
      </w:pPr>
      <w:bookmarkStart w:id="44" w:name="_Toc221540316"/>
      <w:r w:rsidRPr="00BF0F0F">
        <w:t>Legislation applying to cranes in maritime workplaces</w:t>
      </w:r>
      <w:bookmarkEnd w:id="44"/>
      <w:r w:rsidRPr="00BF0F0F">
        <w:t xml:space="preserve"> </w:t>
      </w:r>
    </w:p>
    <w:p w14:paraId="6F436FF5" w14:textId="2DC2935E" w:rsidR="00BF0F0F" w:rsidRPr="005F3F02" w:rsidRDefault="00AA1CAC" w:rsidP="00BF0F0F">
      <w:pPr>
        <w:spacing w:after="40"/>
        <w:rPr>
          <w:rFonts w:cstheme="minorHAnsi"/>
          <w:b/>
          <w:bCs/>
          <w:i/>
          <w:iCs/>
          <w:sz w:val="22"/>
          <w:szCs w:val="22"/>
        </w:rPr>
      </w:pPr>
      <w:r>
        <w:rPr>
          <w:rFonts w:cstheme="minorHAnsi"/>
          <w:b/>
          <w:bCs/>
          <w:i/>
          <w:iCs/>
          <w:sz w:val="22"/>
          <w:szCs w:val="22"/>
        </w:rPr>
        <w:t>C</w:t>
      </w:r>
      <w:r w:rsidR="00BF0F0F" w:rsidRPr="005F3F02">
        <w:rPr>
          <w:rFonts w:cstheme="minorHAnsi"/>
          <w:b/>
          <w:bCs/>
          <w:i/>
          <w:iCs/>
          <w:sz w:val="22"/>
          <w:szCs w:val="22"/>
        </w:rPr>
        <w:t>ranes mounted on vessels/barges</w:t>
      </w:r>
    </w:p>
    <w:p w14:paraId="47549223" w14:textId="7ED9CB36" w:rsidR="0048597C" w:rsidRPr="0048597C" w:rsidRDefault="00BF0F0F" w:rsidP="00BF0F0F">
      <w:pPr>
        <w:rPr>
          <w:rFonts w:cstheme="minorHAnsi"/>
          <w:sz w:val="22"/>
          <w:szCs w:val="22"/>
        </w:rPr>
      </w:pPr>
      <w:r w:rsidRPr="001C0803">
        <w:rPr>
          <w:rFonts w:cstheme="minorHAnsi"/>
          <w:sz w:val="22"/>
          <w:szCs w:val="22"/>
        </w:rPr>
        <w:t xml:space="preserve">Following stakeholder consultation, the Crane Licence Working Group recommended that Safe Work Australia Members consider amending the model WHS laws to explicitly </w:t>
      </w:r>
      <w:r w:rsidR="00F11129" w:rsidRPr="00F11129">
        <w:rPr>
          <w:sz w:val="22"/>
          <w:szCs w:val="22"/>
        </w:rPr>
        <w:t xml:space="preserve">clarify that cranes </w:t>
      </w:r>
      <w:r w:rsidR="00042C79">
        <w:rPr>
          <w:sz w:val="22"/>
          <w:szCs w:val="22"/>
        </w:rPr>
        <w:t xml:space="preserve">classed as high risk work in Schedule 3 of the </w:t>
      </w:r>
      <w:r w:rsidR="002177B7">
        <w:rPr>
          <w:sz w:val="22"/>
          <w:szCs w:val="22"/>
        </w:rPr>
        <w:t xml:space="preserve">model </w:t>
      </w:r>
      <w:r w:rsidR="00042C79">
        <w:rPr>
          <w:sz w:val="22"/>
          <w:szCs w:val="22"/>
        </w:rPr>
        <w:t xml:space="preserve">WHS </w:t>
      </w:r>
      <w:r w:rsidR="002177B7">
        <w:rPr>
          <w:sz w:val="22"/>
          <w:szCs w:val="22"/>
        </w:rPr>
        <w:t>R</w:t>
      </w:r>
      <w:r w:rsidR="00042C79">
        <w:rPr>
          <w:sz w:val="22"/>
          <w:szCs w:val="22"/>
        </w:rPr>
        <w:t>egulations</w:t>
      </w:r>
      <w:r w:rsidR="00042C79" w:rsidRPr="00F36CA4">
        <w:rPr>
          <w:sz w:val="22"/>
          <w:szCs w:val="22"/>
        </w:rPr>
        <w:t xml:space="preserve"> </w:t>
      </w:r>
      <w:r w:rsidR="00F11129" w:rsidRPr="00F11129">
        <w:rPr>
          <w:sz w:val="22"/>
          <w:szCs w:val="22"/>
        </w:rPr>
        <w:t xml:space="preserve">are subject to the same HRW licensing requirements </w:t>
      </w:r>
      <w:r w:rsidR="00042C79">
        <w:rPr>
          <w:sz w:val="22"/>
          <w:szCs w:val="22"/>
        </w:rPr>
        <w:t xml:space="preserve">whether they are </w:t>
      </w:r>
      <w:r w:rsidR="00042C79" w:rsidRPr="00F11129">
        <w:rPr>
          <w:sz w:val="22"/>
          <w:szCs w:val="22"/>
        </w:rPr>
        <w:t xml:space="preserve">mounted on vessels or barges </w:t>
      </w:r>
      <w:r w:rsidR="00042C79">
        <w:rPr>
          <w:sz w:val="22"/>
          <w:szCs w:val="22"/>
        </w:rPr>
        <w:t>or</w:t>
      </w:r>
      <w:r w:rsidR="00F11129" w:rsidRPr="00F11129">
        <w:rPr>
          <w:sz w:val="22"/>
          <w:szCs w:val="22"/>
        </w:rPr>
        <w:t xml:space="preserve"> operated on land</w:t>
      </w:r>
      <w:r w:rsidRPr="0048597C">
        <w:rPr>
          <w:rFonts w:cstheme="minorHAnsi"/>
          <w:sz w:val="22"/>
          <w:szCs w:val="22"/>
        </w:rPr>
        <w:t xml:space="preserve">. </w:t>
      </w:r>
      <w:r w:rsidR="0048597C" w:rsidRPr="0048597C">
        <w:rPr>
          <w:rFonts w:cstheme="minorHAnsi"/>
          <w:sz w:val="22"/>
          <w:szCs w:val="22"/>
        </w:rPr>
        <w:t xml:space="preserve">In March 2025, Members endorsed this recommendation. </w:t>
      </w:r>
      <w:r w:rsidR="00D7633C">
        <w:rPr>
          <w:rFonts w:cstheme="minorHAnsi"/>
          <w:sz w:val="22"/>
          <w:szCs w:val="22"/>
        </w:rPr>
        <w:t>A</w:t>
      </w:r>
      <w:r w:rsidR="0048597C" w:rsidRPr="0048597C">
        <w:rPr>
          <w:rFonts w:cstheme="minorHAnsi"/>
          <w:sz w:val="22"/>
          <w:szCs w:val="22"/>
        </w:rPr>
        <w:t xml:space="preserve">mendments </w:t>
      </w:r>
      <w:r w:rsidR="00D7633C">
        <w:rPr>
          <w:rFonts w:cstheme="minorHAnsi"/>
          <w:sz w:val="22"/>
          <w:szCs w:val="22"/>
        </w:rPr>
        <w:t xml:space="preserve">to the model WHS Regulations </w:t>
      </w:r>
      <w:r w:rsidR="0048597C" w:rsidRPr="0048597C">
        <w:rPr>
          <w:rFonts w:cstheme="minorHAnsi"/>
          <w:sz w:val="22"/>
          <w:szCs w:val="22"/>
        </w:rPr>
        <w:t xml:space="preserve">to give effect to this decision are currently being drafted and </w:t>
      </w:r>
      <w:r w:rsidR="002A4FC7">
        <w:rPr>
          <w:rFonts w:cstheme="minorHAnsi"/>
          <w:sz w:val="22"/>
          <w:szCs w:val="22"/>
        </w:rPr>
        <w:t>may require</w:t>
      </w:r>
      <w:r w:rsidR="0048597C" w:rsidRPr="0048597C">
        <w:rPr>
          <w:rFonts w:cstheme="minorHAnsi"/>
          <w:sz w:val="22"/>
          <w:szCs w:val="22"/>
        </w:rPr>
        <w:t xml:space="preserve"> ministerial agreement.</w:t>
      </w:r>
      <w:r w:rsidR="00D7633C">
        <w:rPr>
          <w:rFonts w:cstheme="minorHAnsi"/>
          <w:sz w:val="22"/>
          <w:szCs w:val="22"/>
        </w:rPr>
        <w:t xml:space="preserve"> </w:t>
      </w:r>
      <w:r w:rsidR="00D7633C" w:rsidRPr="0048597C">
        <w:rPr>
          <w:rFonts w:cstheme="minorHAnsi"/>
          <w:sz w:val="22"/>
          <w:szCs w:val="22"/>
        </w:rPr>
        <w:t>Once enacted across jurisdictions, these amendments are expected to provide greater clarity regarding the application of HRW licensing to cranes used in maritime contexts, particularly where crane</w:t>
      </w:r>
      <w:r w:rsidR="000519BC">
        <w:rPr>
          <w:rFonts w:cstheme="minorHAnsi"/>
          <w:sz w:val="22"/>
          <w:szCs w:val="22"/>
        </w:rPr>
        <w:t>s</w:t>
      </w:r>
      <w:r w:rsidR="00D7633C" w:rsidRPr="0048597C">
        <w:rPr>
          <w:rFonts w:cstheme="minorHAnsi"/>
          <w:sz w:val="22"/>
          <w:szCs w:val="22"/>
        </w:rPr>
        <w:t xml:space="preserve"> are used on </w:t>
      </w:r>
      <w:r w:rsidR="0019750D">
        <w:rPr>
          <w:rFonts w:cstheme="minorHAnsi"/>
          <w:sz w:val="22"/>
          <w:szCs w:val="22"/>
        </w:rPr>
        <w:t>vessels</w:t>
      </w:r>
      <w:r w:rsidR="00D7633C" w:rsidRPr="0048597C">
        <w:rPr>
          <w:rFonts w:cstheme="minorHAnsi"/>
          <w:sz w:val="22"/>
          <w:szCs w:val="22"/>
        </w:rPr>
        <w:t xml:space="preserve">. </w:t>
      </w:r>
      <w:r w:rsidR="00D7633C">
        <w:rPr>
          <w:rFonts w:cstheme="minorHAnsi"/>
          <w:sz w:val="22"/>
          <w:szCs w:val="22"/>
        </w:rPr>
        <w:t>For the purposes of this paper, this clarification is considered part of the current arrangements under the model WHS laws.</w:t>
      </w:r>
    </w:p>
    <w:p w14:paraId="7E801224" w14:textId="71DDD6E0" w:rsidR="006E12E0" w:rsidRPr="006E12E0" w:rsidRDefault="006E12E0" w:rsidP="006E12E0">
      <w:pPr>
        <w:rPr>
          <w:rFonts w:cstheme="minorHAnsi"/>
          <w:sz w:val="22"/>
          <w:szCs w:val="22"/>
        </w:rPr>
      </w:pPr>
      <w:r w:rsidRPr="006E12E0">
        <w:rPr>
          <w:rFonts w:cstheme="minorHAnsi"/>
          <w:sz w:val="22"/>
          <w:szCs w:val="22"/>
        </w:rPr>
        <w:t>In general, jurisdictional WHS laws apply to work carried out by Australian</w:t>
      </w:r>
      <w:r w:rsidR="0095296E">
        <w:rPr>
          <w:rFonts w:cstheme="minorHAnsi"/>
          <w:sz w:val="22"/>
          <w:szCs w:val="22"/>
        </w:rPr>
        <w:t xml:space="preserve"> based</w:t>
      </w:r>
      <w:r w:rsidRPr="006E12E0">
        <w:rPr>
          <w:rFonts w:cstheme="minorHAnsi"/>
          <w:sz w:val="22"/>
          <w:szCs w:val="22"/>
        </w:rPr>
        <w:t xml:space="preserve"> workers and PCBUs within that jurisdiction’s waters, including situations where those workers are undertaking stevedoring activities or other duties on vessels in port. This means that WHS duties — including requirements relating to high risk work licensing — continue to apply to Australian </w:t>
      </w:r>
      <w:r w:rsidR="00C55C58">
        <w:rPr>
          <w:rFonts w:cstheme="minorHAnsi"/>
          <w:sz w:val="22"/>
          <w:szCs w:val="22"/>
        </w:rPr>
        <w:t xml:space="preserve">based </w:t>
      </w:r>
      <w:r w:rsidRPr="006E12E0">
        <w:rPr>
          <w:rFonts w:cstheme="minorHAnsi"/>
          <w:sz w:val="22"/>
          <w:szCs w:val="22"/>
        </w:rPr>
        <w:t>stevedoring workers and seafarers who operate cranes or perform other work on vessels while in Australian waters</w:t>
      </w:r>
      <w:r w:rsidR="00700E00">
        <w:rPr>
          <w:rFonts w:cstheme="minorHAnsi"/>
          <w:sz w:val="22"/>
          <w:szCs w:val="22"/>
        </w:rPr>
        <w:t xml:space="preserve"> in stat</w:t>
      </w:r>
      <w:r w:rsidR="009A3C34">
        <w:rPr>
          <w:rFonts w:cstheme="minorHAnsi"/>
          <w:sz w:val="22"/>
          <w:szCs w:val="22"/>
        </w:rPr>
        <w:t>e and territory jurisdiction</w:t>
      </w:r>
      <w:r w:rsidR="00811ECD">
        <w:rPr>
          <w:rFonts w:cstheme="minorHAnsi"/>
          <w:sz w:val="22"/>
          <w:szCs w:val="22"/>
        </w:rPr>
        <w:t>s</w:t>
      </w:r>
      <w:r w:rsidR="009A3C34">
        <w:rPr>
          <w:rFonts w:cstheme="minorHAnsi"/>
          <w:sz w:val="22"/>
          <w:szCs w:val="22"/>
        </w:rPr>
        <w:t xml:space="preserve"> or in port. Outside state waters, the Commonwealth WHS regime also applies to all workers</w:t>
      </w:r>
      <w:r w:rsidR="000E2C4D">
        <w:rPr>
          <w:rFonts w:cstheme="minorHAnsi"/>
          <w:sz w:val="22"/>
          <w:szCs w:val="22"/>
        </w:rPr>
        <w:t xml:space="preserve"> on Australian registered ships and some foreign flagged vessels</w:t>
      </w:r>
      <w:r w:rsidR="00E32CD2">
        <w:rPr>
          <w:rFonts w:cstheme="minorHAnsi"/>
          <w:sz w:val="22"/>
          <w:szCs w:val="22"/>
        </w:rPr>
        <w:t xml:space="preserve"> where the PCBU has a connection to Australia and more than 50%</w:t>
      </w:r>
      <w:r w:rsidR="001B4BCA">
        <w:rPr>
          <w:rFonts w:cstheme="minorHAnsi"/>
          <w:sz w:val="22"/>
          <w:szCs w:val="22"/>
        </w:rPr>
        <w:t xml:space="preserve"> of crew are Australian based</w:t>
      </w:r>
      <w:r w:rsidRPr="006E12E0">
        <w:rPr>
          <w:rFonts w:cstheme="minorHAnsi"/>
          <w:sz w:val="22"/>
          <w:szCs w:val="22"/>
        </w:rPr>
        <w:t>.</w:t>
      </w:r>
    </w:p>
    <w:p w14:paraId="1244F414" w14:textId="77777777" w:rsidR="006E12E0" w:rsidRPr="006E12E0" w:rsidRDefault="006E12E0" w:rsidP="006E12E0">
      <w:pPr>
        <w:rPr>
          <w:rFonts w:cstheme="minorHAnsi"/>
          <w:sz w:val="22"/>
          <w:szCs w:val="22"/>
        </w:rPr>
      </w:pPr>
      <w:r w:rsidRPr="006E12E0">
        <w:rPr>
          <w:rFonts w:cstheme="minorHAnsi"/>
          <w:sz w:val="22"/>
          <w:szCs w:val="22"/>
        </w:rPr>
        <w:t>However, the extent to which the jurisdictional WHS laws apply to the foreign</w:t>
      </w:r>
      <w:r w:rsidRPr="006E12E0">
        <w:rPr>
          <w:rFonts w:cstheme="minorHAnsi"/>
          <w:sz w:val="22"/>
          <w:szCs w:val="22"/>
        </w:rPr>
        <w:noBreakHyphen/>
        <w:t>flagged vessel itself, or to the vessel operator as a PCBU, may be more limited and depends on the specific circumstances. These jurisdictional considerations are explored in more detail in later sections of this paper.</w:t>
      </w:r>
    </w:p>
    <w:p w14:paraId="3A62D79A" w14:textId="2ED49476" w:rsidR="004671AA" w:rsidRPr="004671AA" w:rsidRDefault="0048597C" w:rsidP="004671AA">
      <w:pPr>
        <w:rPr>
          <w:rFonts w:cstheme="minorHAnsi"/>
          <w:sz w:val="22"/>
          <w:szCs w:val="22"/>
        </w:rPr>
      </w:pPr>
      <w:r w:rsidRPr="00D34892">
        <w:rPr>
          <w:rFonts w:cstheme="minorHAnsi"/>
          <w:sz w:val="22"/>
          <w:szCs w:val="22"/>
        </w:rPr>
        <w:t xml:space="preserve">The Agency </w:t>
      </w:r>
      <w:r w:rsidR="00366EBA" w:rsidRPr="00D34892">
        <w:rPr>
          <w:rFonts w:cstheme="minorHAnsi"/>
          <w:sz w:val="22"/>
          <w:szCs w:val="22"/>
        </w:rPr>
        <w:t>understands</w:t>
      </w:r>
      <w:r w:rsidRPr="00D34892">
        <w:rPr>
          <w:rFonts w:cstheme="minorHAnsi"/>
          <w:sz w:val="22"/>
          <w:szCs w:val="22"/>
        </w:rPr>
        <w:t xml:space="preserve"> that</w:t>
      </w:r>
      <w:r w:rsidR="001B660B">
        <w:rPr>
          <w:rFonts w:cstheme="minorHAnsi"/>
          <w:sz w:val="22"/>
          <w:szCs w:val="22"/>
        </w:rPr>
        <w:t xml:space="preserve">, </w:t>
      </w:r>
      <w:r w:rsidR="004671AA" w:rsidRPr="004671AA">
        <w:rPr>
          <w:rFonts w:cstheme="minorHAnsi"/>
          <w:sz w:val="22"/>
          <w:szCs w:val="22"/>
        </w:rPr>
        <w:t>while domestic maritime legislation does not prescribe licensing requirements for the operation of cranes or other plant covered by HRW licensing, it generally allows for the concurrent operation of maritime safety requirements and WHS duties. This supports a consistent and integrated approach to crane safety regulation for Australian</w:t>
      </w:r>
      <w:r w:rsidR="001B660B">
        <w:rPr>
          <w:rFonts w:cstheme="minorHAnsi"/>
          <w:sz w:val="22"/>
          <w:szCs w:val="22"/>
        </w:rPr>
        <w:t xml:space="preserve"> based</w:t>
      </w:r>
      <w:r w:rsidR="004671AA" w:rsidRPr="004671AA">
        <w:rPr>
          <w:rFonts w:cstheme="minorHAnsi"/>
          <w:sz w:val="22"/>
          <w:szCs w:val="22"/>
        </w:rPr>
        <w:t xml:space="preserve"> workers operating cranes on vessels or barges.</w:t>
      </w:r>
    </w:p>
    <w:p w14:paraId="5FD58F52" w14:textId="2454D05E" w:rsidR="00A57940" w:rsidRPr="0048597C" w:rsidRDefault="00A57940" w:rsidP="00BF0F0F">
      <w:pPr>
        <w:rPr>
          <w:rFonts w:cstheme="minorHAnsi"/>
          <w:sz w:val="22"/>
          <w:szCs w:val="22"/>
        </w:rPr>
      </w:pPr>
    </w:p>
    <w:p w14:paraId="3B547723" w14:textId="54156E40" w:rsidR="00BF0F0F" w:rsidRPr="00484556" w:rsidRDefault="00BF0F0F" w:rsidP="00BF0F0F">
      <w:pPr>
        <w:spacing w:after="40"/>
        <w:rPr>
          <w:rFonts w:cstheme="minorHAnsi"/>
          <w:b/>
          <w:bCs/>
          <w:i/>
          <w:iCs/>
          <w:sz w:val="22"/>
          <w:szCs w:val="22"/>
        </w:rPr>
      </w:pPr>
      <w:r w:rsidRPr="00484556">
        <w:rPr>
          <w:rFonts w:cstheme="minorHAnsi"/>
          <w:b/>
          <w:bCs/>
          <w:i/>
          <w:iCs/>
          <w:sz w:val="22"/>
          <w:szCs w:val="22"/>
        </w:rPr>
        <w:t>Domestic Commercial Vessels, Regulated Australian Vessels and Foreign</w:t>
      </w:r>
      <w:r w:rsidR="00CF72EE">
        <w:rPr>
          <w:rFonts w:cstheme="minorHAnsi"/>
          <w:b/>
          <w:bCs/>
          <w:i/>
          <w:iCs/>
          <w:sz w:val="22"/>
          <w:szCs w:val="22"/>
        </w:rPr>
        <w:t xml:space="preserve"> </w:t>
      </w:r>
      <w:r w:rsidR="005F1ECB">
        <w:rPr>
          <w:rFonts w:cstheme="minorHAnsi"/>
          <w:b/>
          <w:bCs/>
          <w:i/>
          <w:iCs/>
          <w:sz w:val="22"/>
          <w:szCs w:val="22"/>
        </w:rPr>
        <w:t>F</w:t>
      </w:r>
      <w:r w:rsidR="00CF72EE">
        <w:rPr>
          <w:rFonts w:cstheme="minorHAnsi"/>
          <w:b/>
          <w:bCs/>
          <w:i/>
          <w:iCs/>
          <w:sz w:val="22"/>
          <w:szCs w:val="22"/>
        </w:rPr>
        <w:t>lagged</w:t>
      </w:r>
      <w:r w:rsidRPr="00484556">
        <w:rPr>
          <w:rFonts w:cstheme="minorHAnsi"/>
          <w:b/>
          <w:bCs/>
          <w:i/>
          <w:iCs/>
          <w:sz w:val="22"/>
          <w:szCs w:val="22"/>
        </w:rPr>
        <w:t xml:space="preserve"> vessels</w:t>
      </w:r>
    </w:p>
    <w:p w14:paraId="7B50AEFB" w14:textId="69EC85EB" w:rsidR="00795958" w:rsidRDefault="0061358B" w:rsidP="00F33957">
      <w:pPr>
        <w:spacing w:after="60"/>
        <w:rPr>
          <w:rFonts w:cstheme="minorHAnsi"/>
          <w:sz w:val="22"/>
          <w:szCs w:val="22"/>
        </w:rPr>
      </w:pPr>
      <w:r w:rsidRPr="001E1733">
        <w:rPr>
          <w:rFonts w:cstheme="minorHAnsi"/>
          <w:sz w:val="22"/>
          <w:szCs w:val="22"/>
        </w:rPr>
        <w:t xml:space="preserve">Crane operations on vessels are subject to varying legislative frameworks depending on the type of vessel involved. The following table outlines the key regulatory </w:t>
      </w:r>
      <w:r w:rsidR="002177B7">
        <w:rPr>
          <w:rFonts w:cstheme="minorHAnsi"/>
          <w:sz w:val="22"/>
          <w:szCs w:val="22"/>
        </w:rPr>
        <w:t>frameworks</w:t>
      </w:r>
      <w:r w:rsidR="002177B7" w:rsidRPr="001E1733">
        <w:rPr>
          <w:rFonts w:cstheme="minorHAnsi"/>
          <w:sz w:val="22"/>
          <w:szCs w:val="22"/>
        </w:rPr>
        <w:t xml:space="preserve"> </w:t>
      </w:r>
      <w:r w:rsidRPr="001E1733">
        <w:rPr>
          <w:rFonts w:cstheme="minorHAnsi"/>
          <w:sz w:val="22"/>
          <w:szCs w:val="22"/>
        </w:rPr>
        <w:t xml:space="preserve">between Domestic Commercial Vessels, Regulated Australian Vessels, and Foreign </w:t>
      </w:r>
      <w:r w:rsidR="003A6961">
        <w:rPr>
          <w:rFonts w:cstheme="minorHAnsi"/>
          <w:sz w:val="22"/>
          <w:szCs w:val="22"/>
        </w:rPr>
        <w:t>Flagged</w:t>
      </w:r>
      <w:r w:rsidR="00C000FC">
        <w:rPr>
          <w:rFonts w:cstheme="minorHAnsi"/>
          <w:sz w:val="22"/>
          <w:szCs w:val="22"/>
        </w:rPr>
        <w:t xml:space="preserve"> </w:t>
      </w:r>
      <w:r w:rsidRPr="001E1733">
        <w:rPr>
          <w:rFonts w:cstheme="minorHAnsi"/>
          <w:sz w:val="22"/>
          <w:szCs w:val="22"/>
        </w:rPr>
        <w:t>Vessels, highlighting the complexity of applying consistent licensing and safety requirements across maritime contexts</w:t>
      </w:r>
      <w:r>
        <w:rPr>
          <w:rFonts w:cstheme="minorHAnsi"/>
          <w:sz w:val="22"/>
          <w:szCs w:val="22"/>
        </w:rPr>
        <w:t>.</w:t>
      </w:r>
    </w:p>
    <w:p w14:paraId="515D8AAC" w14:textId="77777777" w:rsidR="00915664" w:rsidRPr="001E1733" w:rsidRDefault="00915664" w:rsidP="00F33957">
      <w:pPr>
        <w:spacing w:after="60"/>
        <w:rPr>
          <w:rFonts w:cstheme="minorHAnsi"/>
          <w:sz w:val="22"/>
          <w:szCs w:val="22"/>
        </w:rPr>
      </w:pPr>
    </w:p>
    <w:p w14:paraId="7A3789EB" w14:textId="31F92D7E" w:rsidR="00BD0BCE" w:rsidRDefault="00902E05" w:rsidP="006A2B86">
      <w:pPr>
        <w:rPr>
          <w:rFonts w:cstheme="minorHAnsi"/>
          <w:b/>
          <w:bCs/>
          <w:i/>
          <w:iCs/>
          <w:sz w:val="22"/>
          <w:szCs w:val="22"/>
        </w:rPr>
      </w:pPr>
      <w:r w:rsidRPr="00902E05">
        <w:rPr>
          <w:rFonts w:cstheme="minorHAnsi"/>
          <w:b/>
          <w:bCs/>
          <w:i/>
          <w:iCs/>
          <w:noProof/>
          <w:sz w:val="22"/>
          <w:szCs w:val="22"/>
        </w:rPr>
        <w:lastRenderedPageBreak/>
        <w:drawing>
          <wp:inline distT="0" distB="0" distL="0" distR="0" wp14:anchorId="664218BA" wp14:editId="10BB8C50">
            <wp:extent cx="5725324" cy="3496163"/>
            <wp:effectExtent l="0" t="0" r="8890" b="9525"/>
            <wp:docPr id="119904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40786" name=""/>
                    <pic:cNvPicPr/>
                  </pic:nvPicPr>
                  <pic:blipFill>
                    <a:blip r:embed="rId28"/>
                    <a:stretch>
                      <a:fillRect/>
                    </a:stretch>
                  </pic:blipFill>
                  <pic:spPr>
                    <a:xfrm>
                      <a:off x="0" y="0"/>
                      <a:ext cx="5725324" cy="3496163"/>
                    </a:xfrm>
                    <a:prstGeom prst="rect">
                      <a:avLst/>
                    </a:prstGeom>
                  </pic:spPr>
                </pic:pic>
              </a:graphicData>
            </a:graphic>
          </wp:inline>
        </w:drawing>
      </w:r>
    </w:p>
    <w:p w14:paraId="7D512809" w14:textId="77777777" w:rsidR="00122731" w:rsidRDefault="00122731" w:rsidP="006A2B86">
      <w:pPr>
        <w:rPr>
          <w:rFonts w:cstheme="minorHAnsi"/>
          <w:b/>
          <w:bCs/>
          <w:i/>
          <w:iCs/>
          <w:sz w:val="22"/>
          <w:szCs w:val="22"/>
        </w:rPr>
      </w:pPr>
    </w:p>
    <w:p w14:paraId="2E2D9DF6" w14:textId="47E02751" w:rsidR="00BF0F0F" w:rsidRPr="00484556" w:rsidRDefault="00BF0F0F" w:rsidP="006A2B86">
      <w:pPr>
        <w:rPr>
          <w:rFonts w:cstheme="minorHAnsi"/>
          <w:b/>
          <w:bCs/>
          <w:i/>
          <w:iCs/>
          <w:sz w:val="22"/>
          <w:szCs w:val="22"/>
        </w:rPr>
      </w:pPr>
      <w:r w:rsidRPr="00484556">
        <w:rPr>
          <w:rFonts w:cstheme="minorHAnsi"/>
          <w:b/>
          <w:bCs/>
          <w:i/>
          <w:iCs/>
          <w:sz w:val="22"/>
          <w:szCs w:val="22"/>
        </w:rPr>
        <w:t xml:space="preserve">Operating cranes on </w:t>
      </w:r>
      <w:r w:rsidR="00E22DED">
        <w:rPr>
          <w:rFonts w:cstheme="minorHAnsi"/>
          <w:b/>
          <w:bCs/>
          <w:i/>
          <w:iCs/>
          <w:sz w:val="22"/>
          <w:szCs w:val="22"/>
        </w:rPr>
        <w:t>F</w:t>
      </w:r>
      <w:r w:rsidR="00E22DED" w:rsidRPr="00484556">
        <w:rPr>
          <w:rFonts w:cstheme="minorHAnsi"/>
          <w:b/>
          <w:bCs/>
          <w:i/>
          <w:iCs/>
          <w:sz w:val="22"/>
          <w:szCs w:val="22"/>
        </w:rPr>
        <w:t>oreign</w:t>
      </w:r>
      <w:r w:rsidR="00E22DED">
        <w:rPr>
          <w:rFonts w:cstheme="minorHAnsi"/>
          <w:b/>
          <w:bCs/>
          <w:i/>
          <w:iCs/>
          <w:sz w:val="22"/>
          <w:szCs w:val="22"/>
        </w:rPr>
        <w:t xml:space="preserve"> F</w:t>
      </w:r>
      <w:r w:rsidR="006560DA">
        <w:rPr>
          <w:rFonts w:cstheme="minorHAnsi"/>
          <w:b/>
          <w:bCs/>
          <w:i/>
          <w:iCs/>
          <w:sz w:val="22"/>
          <w:szCs w:val="22"/>
        </w:rPr>
        <w:t>lagged</w:t>
      </w:r>
      <w:r w:rsidRPr="00484556">
        <w:rPr>
          <w:rFonts w:cstheme="minorHAnsi"/>
          <w:b/>
          <w:bCs/>
          <w:i/>
          <w:iCs/>
          <w:sz w:val="22"/>
          <w:szCs w:val="22"/>
        </w:rPr>
        <w:t xml:space="preserve"> </w:t>
      </w:r>
      <w:r w:rsidR="00E22DED">
        <w:rPr>
          <w:rFonts w:cstheme="minorHAnsi"/>
          <w:b/>
          <w:bCs/>
          <w:i/>
          <w:iCs/>
          <w:sz w:val="22"/>
          <w:szCs w:val="22"/>
        </w:rPr>
        <w:t>V</w:t>
      </w:r>
      <w:r w:rsidR="00E22DED" w:rsidRPr="00484556">
        <w:rPr>
          <w:rFonts w:cstheme="minorHAnsi"/>
          <w:b/>
          <w:bCs/>
          <w:i/>
          <w:iCs/>
          <w:sz w:val="22"/>
          <w:szCs w:val="22"/>
        </w:rPr>
        <w:t>essels</w:t>
      </w:r>
    </w:p>
    <w:p w14:paraId="2711A4DC" w14:textId="6956B4F8" w:rsidR="00BF0F0F" w:rsidRPr="00637AC6" w:rsidRDefault="00BF0F0F" w:rsidP="00BF0F0F">
      <w:pPr>
        <w:rPr>
          <w:rFonts w:cstheme="minorHAnsi"/>
          <w:sz w:val="22"/>
          <w:szCs w:val="22"/>
        </w:rPr>
      </w:pPr>
      <w:r w:rsidRPr="00637AC6">
        <w:rPr>
          <w:rFonts w:cstheme="minorHAnsi"/>
          <w:sz w:val="22"/>
          <w:szCs w:val="22"/>
        </w:rPr>
        <w:t>Australian workers frequently board foreign vessels to undertake stevedoring activities, including the loading and unloading of cargo, stacking and storing goods on the wharf, and managing cargo receipt and delivery within port terminals. In some operational contexts, all crane-related tasks are performed using the vessel’s onboard cranes, particularly where shore-based lifting equipment is unavailable or unsuitable for the type of cargo or vessel configuration.</w:t>
      </w:r>
    </w:p>
    <w:p w14:paraId="718F8D36" w14:textId="23844784" w:rsidR="002D3580" w:rsidRPr="002D3580" w:rsidRDefault="002D3580" w:rsidP="002D3580">
      <w:pPr>
        <w:rPr>
          <w:rFonts w:cstheme="minorHAnsi"/>
          <w:sz w:val="22"/>
          <w:szCs w:val="22"/>
        </w:rPr>
      </w:pPr>
      <w:r w:rsidRPr="002D3580">
        <w:rPr>
          <w:rFonts w:cstheme="minorHAnsi"/>
          <w:sz w:val="22"/>
          <w:szCs w:val="22"/>
        </w:rPr>
        <w:t>In addition to stevedoring operations, Australian seafarers also regularly board and operate cranes on foreign</w:t>
      </w:r>
      <w:r w:rsidRPr="002D3580">
        <w:rPr>
          <w:rFonts w:cstheme="minorHAnsi"/>
          <w:sz w:val="22"/>
          <w:szCs w:val="22"/>
        </w:rPr>
        <w:noBreakHyphen/>
        <w:t xml:space="preserve">flagged vessels undertaking dredging, maritime construction, and offshore oil and gas activities in state </w:t>
      </w:r>
      <w:r w:rsidR="00A577C3">
        <w:rPr>
          <w:rFonts w:cstheme="minorHAnsi"/>
          <w:sz w:val="22"/>
          <w:szCs w:val="22"/>
        </w:rPr>
        <w:t xml:space="preserve">and territory coastal </w:t>
      </w:r>
      <w:r w:rsidRPr="002D3580">
        <w:rPr>
          <w:rFonts w:cstheme="minorHAnsi"/>
          <w:sz w:val="22"/>
          <w:szCs w:val="22"/>
        </w:rPr>
        <w:t>waters</w:t>
      </w:r>
      <w:r w:rsidR="00A577C3">
        <w:rPr>
          <w:rFonts w:cstheme="minorHAnsi"/>
          <w:sz w:val="22"/>
          <w:szCs w:val="22"/>
        </w:rPr>
        <w:t xml:space="preserve"> (0-3</w:t>
      </w:r>
      <w:r w:rsidR="00D43FDF">
        <w:rPr>
          <w:rFonts w:cstheme="minorHAnsi"/>
          <w:sz w:val="22"/>
          <w:szCs w:val="22"/>
        </w:rPr>
        <w:t xml:space="preserve"> nautical miles)</w:t>
      </w:r>
      <w:r w:rsidRPr="002D3580">
        <w:rPr>
          <w:rFonts w:cstheme="minorHAnsi"/>
          <w:sz w:val="22"/>
          <w:szCs w:val="22"/>
        </w:rPr>
        <w:t xml:space="preserve">. Similar arrangements may also occur on foreign vessels supporting offshore oil and gas projects, </w:t>
      </w:r>
      <w:r w:rsidR="00C3366D">
        <w:rPr>
          <w:rFonts w:cstheme="minorHAnsi"/>
          <w:sz w:val="22"/>
          <w:szCs w:val="22"/>
        </w:rPr>
        <w:t>as well as</w:t>
      </w:r>
      <w:r w:rsidR="00F113B9">
        <w:rPr>
          <w:rFonts w:cstheme="minorHAnsi"/>
          <w:sz w:val="22"/>
          <w:szCs w:val="22"/>
        </w:rPr>
        <w:t xml:space="preserve"> emerging offshore wind activities, in </w:t>
      </w:r>
      <w:r w:rsidR="00884DFC">
        <w:rPr>
          <w:rFonts w:cstheme="minorHAnsi"/>
          <w:sz w:val="22"/>
          <w:szCs w:val="22"/>
        </w:rPr>
        <w:t>broader Australian</w:t>
      </w:r>
      <w:r w:rsidR="00600C83">
        <w:rPr>
          <w:rFonts w:cstheme="minorHAnsi"/>
          <w:sz w:val="22"/>
          <w:szCs w:val="22"/>
        </w:rPr>
        <w:t xml:space="preserve"> waters beyond 3 nautical miles</w:t>
      </w:r>
      <w:r w:rsidR="00884DFC">
        <w:rPr>
          <w:rFonts w:cstheme="minorHAnsi"/>
          <w:sz w:val="22"/>
          <w:szCs w:val="22"/>
        </w:rPr>
        <w:t xml:space="preserve"> (Commonwealth jurisdiction)</w:t>
      </w:r>
      <w:r w:rsidR="00600C83">
        <w:rPr>
          <w:rFonts w:cstheme="minorHAnsi"/>
          <w:sz w:val="22"/>
          <w:szCs w:val="22"/>
        </w:rPr>
        <w:t>.</w:t>
      </w:r>
    </w:p>
    <w:p w14:paraId="7B4345DA" w14:textId="77777777" w:rsidR="00764E87" w:rsidRPr="00764E87" w:rsidRDefault="00764E87" w:rsidP="00764E87">
      <w:pPr>
        <w:rPr>
          <w:rFonts w:cstheme="minorHAnsi"/>
          <w:sz w:val="22"/>
          <w:szCs w:val="22"/>
        </w:rPr>
      </w:pPr>
      <w:r w:rsidRPr="00764E87">
        <w:rPr>
          <w:rFonts w:cstheme="minorHAnsi"/>
          <w:sz w:val="22"/>
          <w:szCs w:val="22"/>
        </w:rPr>
        <w:t>Foreign</w:t>
      </w:r>
      <w:r w:rsidRPr="00764E87">
        <w:rPr>
          <w:rFonts w:cstheme="minorHAnsi"/>
          <w:sz w:val="22"/>
          <w:szCs w:val="22"/>
        </w:rPr>
        <w:noBreakHyphen/>
        <w:t>flagged vessels must also comply with applicable international conventions, including the Maritime Labour Convention (MLC, 2006). Under the MLC, vessels are required to meet the work health and safety requirements of their Flag State, noting that Flag State expectations for crane</w:t>
      </w:r>
      <w:r w:rsidRPr="00764E87">
        <w:rPr>
          <w:rFonts w:cstheme="minorHAnsi"/>
          <w:sz w:val="22"/>
          <w:szCs w:val="22"/>
        </w:rPr>
        <w:noBreakHyphen/>
        <w:t>operation competencies and licensing vary and may be limited. These obligations apply in addition to any State or Territory WHS duties that may apply to work performed by Australian workers while the vessel is in Australian waters.</w:t>
      </w:r>
    </w:p>
    <w:p w14:paraId="6AEE5221" w14:textId="458C5BDA" w:rsidR="00BF0F0F" w:rsidRPr="00637AC6" w:rsidRDefault="00B01263" w:rsidP="00BF0F0F">
      <w:pPr>
        <w:rPr>
          <w:rFonts w:cstheme="minorHAnsi"/>
          <w:sz w:val="22"/>
          <w:szCs w:val="22"/>
        </w:rPr>
      </w:pPr>
      <w:r w:rsidRPr="00B01263">
        <w:rPr>
          <w:rFonts w:cstheme="minorHAnsi"/>
          <w:sz w:val="22"/>
          <w:szCs w:val="22"/>
        </w:rPr>
        <w:t>This broader range of operational scenarios</w:t>
      </w:r>
      <w:r w:rsidR="00BF0F0F" w:rsidRPr="00637AC6">
        <w:rPr>
          <w:rFonts w:cstheme="minorHAnsi"/>
          <w:sz w:val="22"/>
          <w:szCs w:val="22"/>
        </w:rPr>
        <w:t xml:space="preserve"> raises important considerations regarding the application of HRW licensing requirements under WHS laws. Stakeholders have noted uncertainty around whether Australian</w:t>
      </w:r>
      <w:r w:rsidR="00D514DB">
        <w:rPr>
          <w:rFonts w:cstheme="minorHAnsi"/>
          <w:sz w:val="22"/>
          <w:szCs w:val="22"/>
        </w:rPr>
        <w:t xml:space="preserve"> WHS</w:t>
      </w:r>
      <w:r w:rsidR="00BF0F0F" w:rsidRPr="00637AC6">
        <w:rPr>
          <w:rFonts w:cstheme="minorHAnsi"/>
          <w:sz w:val="22"/>
          <w:szCs w:val="22"/>
        </w:rPr>
        <w:t xml:space="preserve"> licensing </w:t>
      </w:r>
      <w:r w:rsidR="00D514DB">
        <w:rPr>
          <w:rFonts w:cstheme="minorHAnsi"/>
          <w:sz w:val="22"/>
          <w:szCs w:val="22"/>
        </w:rPr>
        <w:t>requirements</w:t>
      </w:r>
      <w:r w:rsidR="00D514DB" w:rsidRPr="00637AC6">
        <w:rPr>
          <w:rFonts w:cstheme="minorHAnsi"/>
          <w:sz w:val="22"/>
          <w:szCs w:val="22"/>
        </w:rPr>
        <w:t xml:space="preserve"> </w:t>
      </w:r>
      <w:r w:rsidR="00BF0F0F" w:rsidRPr="00637AC6">
        <w:rPr>
          <w:rFonts w:cstheme="minorHAnsi"/>
          <w:sz w:val="22"/>
          <w:szCs w:val="22"/>
        </w:rPr>
        <w:t>apply when cranes are operated on foreign vessels within Australian waters, especially when the crane is operated by a</w:t>
      </w:r>
      <w:r w:rsidR="00D514DB">
        <w:rPr>
          <w:rFonts w:cstheme="minorHAnsi"/>
          <w:sz w:val="22"/>
          <w:szCs w:val="22"/>
        </w:rPr>
        <w:t xml:space="preserve">n Australian </w:t>
      </w:r>
      <w:r w:rsidR="00BF0F0F" w:rsidRPr="00637AC6">
        <w:rPr>
          <w:rFonts w:cstheme="minorHAnsi"/>
          <w:sz w:val="22"/>
          <w:szCs w:val="22"/>
        </w:rPr>
        <w:t xml:space="preserve">worker. The jurisdictional boundaries between maritime law and workplace </w:t>
      </w:r>
      <w:r w:rsidR="00BF0F0F" w:rsidRPr="00637AC6">
        <w:rPr>
          <w:rFonts w:cstheme="minorHAnsi"/>
          <w:sz w:val="22"/>
          <w:szCs w:val="22"/>
        </w:rPr>
        <w:lastRenderedPageBreak/>
        <w:t xml:space="preserve">health and safety legislation are not always clearly defined in these scenarios, leading to inconsistent interpretations and potential </w:t>
      </w:r>
      <w:r w:rsidR="00D514DB">
        <w:rPr>
          <w:rFonts w:cstheme="minorHAnsi"/>
          <w:sz w:val="22"/>
          <w:szCs w:val="22"/>
        </w:rPr>
        <w:t xml:space="preserve">regulatory </w:t>
      </w:r>
      <w:r w:rsidR="00BF0F0F" w:rsidRPr="00637AC6">
        <w:rPr>
          <w:rFonts w:cstheme="minorHAnsi"/>
          <w:sz w:val="22"/>
          <w:szCs w:val="22"/>
        </w:rPr>
        <w:t>gaps.</w:t>
      </w:r>
    </w:p>
    <w:p w14:paraId="2B900AA1" w14:textId="77777777" w:rsidR="00BF0F0F" w:rsidRPr="00FD0C4E" w:rsidRDefault="00BF0F0F" w:rsidP="00BF0F0F">
      <w:pPr>
        <w:spacing w:before="120" w:after="40"/>
        <w:rPr>
          <w:rFonts w:cstheme="minorHAnsi"/>
          <w:b/>
          <w:bCs/>
          <w:i/>
          <w:iCs/>
          <w:sz w:val="22"/>
          <w:szCs w:val="22"/>
        </w:rPr>
      </w:pPr>
      <w:r w:rsidRPr="00FD0C4E">
        <w:rPr>
          <w:rFonts w:cstheme="minorHAnsi"/>
          <w:b/>
          <w:bCs/>
          <w:i/>
          <w:iCs/>
          <w:sz w:val="22"/>
          <w:szCs w:val="22"/>
        </w:rPr>
        <w:t>Concurrent legislation</w:t>
      </w:r>
    </w:p>
    <w:p w14:paraId="4FF47B49" w14:textId="3AD21013" w:rsidR="00BF0F0F" w:rsidRPr="007553E8" w:rsidRDefault="00BF0F0F" w:rsidP="00BF0F0F">
      <w:pPr>
        <w:spacing w:after="40"/>
        <w:rPr>
          <w:rFonts w:cs="Arial"/>
          <w:sz w:val="22"/>
          <w:szCs w:val="22"/>
        </w:rPr>
      </w:pPr>
      <w:r w:rsidRPr="007553E8">
        <w:rPr>
          <w:rFonts w:cs="Arial"/>
          <w:sz w:val="22"/>
          <w:szCs w:val="22"/>
        </w:rPr>
        <w:t xml:space="preserve">Stevedores working both onshore and aboard vessels are subject to a dual regulatory framework comprising </w:t>
      </w:r>
      <w:r w:rsidR="00D514DB">
        <w:rPr>
          <w:rFonts w:cs="Arial"/>
          <w:sz w:val="22"/>
          <w:szCs w:val="22"/>
        </w:rPr>
        <w:t>s</w:t>
      </w:r>
      <w:r w:rsidR="00D514DB" w:rsidRPr="007553E8">
        <w:rPr>
          <w:rFonts w:cs="Arial"/>
          <w:sz w:val="22"/>
          <w:szCs w:val="22"/>
        </w:rPr>
        <w:t xml:space="preserve">tate </w:t>
      </w:r>
      <w:r w:rsidRPr="007553E8">
        <w:rPr>
          <w:rFonts w:cs="Arial"/>
          <w:sz w:val="22"/>
          <w:szCs w:val="22"/>
        </w:rPr>
        <w:t xml:space="preserve">and </w:t>
      </w:r>
      <w:r w:rsidR="00D514DB">
        <w:rPr>
          <w:rFonts w:cs="Arial"/>
          <w:sz w:val="22"/>
          <w:szCs w:val="22"/>
        </w:rPr>
        <w:t>t</w:t>
      </w:r>
      <w:r w:rsidR="00D514DB" w:rsidRPr="007553E8">
        <w:rPr>
          <w:rFonts w:cs="Arial"/>
          <w:sz w:val="22"/>
          <w:szCs w:val="22"/>
        </w:rPr>
        <w:t xml:space="preserve">erritory </w:t>
      </w:r>
      <w:r w:rsidRPr="007553E8">
        <w:rPr>
          <w:rFonts w:cs="Arial"/>
          <w:sz w:val="22"/>
          <w:szCs w:val="22"/>
        </w:rPr>
        <w:t>WHS laws—administered by jurisdictional WHS/OHS regulators</w:t>
      </w:r>
      <w:r w:rsidR="00B35A70">
        <w:rPr>
          <w:rFonts w:cs="Arial"/>
          <w:sz w:val="22"/>
          <w:szCs w:val="22"/>
        </w:rPr>
        <w:t>,</w:t>
      </w:r>
      <w:r w:rsidR="00966396">
        <w:rPr>
          <w:rFonts w:cs="Arial"/>
          <w:sz w:val="22"/>
          <w:szCs w:val="22"/>
        </w:rPr>
        <w:t xml:space="preserve"> in the Commonwealth’s case</w:t>
      </w:r>
      <w:r w:rsidRPr="007553E8">
        <w:rPr>
          <w:rFonts w:cs="Arial"/>
          <w:sz w:val="22"/>
          <w:szCs w:val="22"/>
        </w:rPr>
        <w:t>—</w:t>
      </w:r>
      <w:r w:rsidR="009C4F47">
        <w:rPr>
          <w:rFonts w:cs="Arial"/>
          <w:sz w:val="22"/>
          <w:szCs w:val="22"/>
        </w:rPr>
        <w:t xml:space="preserve"> the </w:t>
      </w:r>
      <w:r w:rsidR="009C4F47" w:rsidRPr="007553E8">
        <w:rPr>
          <w:rFonts w:cs="Arial"/>
          <w:sz w:val="22"/>
          <w:szCs w:val="22"/>
        </w:rPr>
        <w:t>Australian Maritime Safety Authority</w:t>
      </w:r>
      <w:r w:rsidR="009C4F47">
        <w:rPr>
          <w:rFonts w:cs="Arial"/>
          <w:sz w:val="22"/>
          <w:szCs w:val="22"/>
        </w:rPr>
        <w:t xml:space="preserve"> (</w:t>
      </w:r>
      <w:r w:rsidR="00966396">
        <w:rPr>
          <w:rFonts w:cs="Arial"/>
          <w:sz w:val="22"/>
          <w:szCs w:val="22"/>
        </w:rPr>
        <w:t>AMSA</w:t>
      </w:r>
      <w:r w:rsidR="009C4F47">
        <w:rPr>
          <w:rFonts w:cs="Arial"/>
          <w:sz w:val="22"/>
          <w:szCs w:val="22"/>
        </w:rPr>
        <w:t>)</w:t>
      </w:r>
      <w:r w:rsidR="00966396">
        <w:rPr>
          <w:rFonts w:cs="Arial"/>
          <w:sz w:val="22"/>
          <w:szCs w:val="22"/>
        </w:rPr>
        <w:t xml:space="preserve"> as the Inspectorate under the OHS</w:t>
      </w:r>
      <w:r w:rsidR="00CC0B32">
        <w:rPr>
          <w:rFonts w:cs="Arial"/>
          <w:sz w:val="22"/>
          <w:szCs w:val="22"/>
        </w:rPr>
        <w:t>(MI) Act</w:t>
      </w:r>
      <w:r w:rsidR="009B5C6B">
        <w:rPr>
          <w:rFonts w:cs="Arial"/>
          <w:sz w:val="22"/>
          <w:szCs w:val="22"/>
        </w:rPr>
        <w:t xml:space="preserve"> – </w:t>
      </w:r>
      <w:r w:rsidRPr="007553E8">
        <w:rPr>
          <w:rFonts w:cs="Arial"/>
          <w:sz w:val="22"/>
          <w:szCs w:val="22"/>
        </w:rPr>
        <w:t xml:space="preserve">and </w:t>
      </w:r>
      <w:r w:rsidR="009B5C6B">
        <w:rPr>
          <w:rFonts w:cs="Arial"/>
          <w:sz w:val="22"/>
          <w:szCs w:val="22"/>
        </w:rPr>
        <w:t xml:space="preserve">regulatory standards set in </w:t>
      </w:r>
      <w:r w:rsidRPr="007553E8">
        <w:rPr>
          <w:rFonts w:cs="Arial"/>
          <w:sz w:val="22"/>
          <w:szCs w:val="22"/>
        </w:rPr>
        <w:t>Marine Orders made under the </w:t>
      </w:r>
      <w:r w:rsidRPr="007553E8">
        <w:rPr>
          <w:rFonts w:cs="Arial"/>
          <w:i/>
          <w:iCs/>
          <w:sz w:val="22"/>
          <w:szCs w:val="22"/>
        </w:rPr>
        <w:t>Navigation Act 2012 (</w:t>
      </w:r>
      <w:proofErr w:type="spellStart"/>
      <w:r w:rsidRPr="007553E8">
        <w:rPr>
          <w:rFonts w:cs="Arial"/>
          <w:i/>
          <w:iCs/>
          <w:sz w:val="22"/>
          <w:szCs w:val="22"/>
        </w:rPr>
        <w:t>Cth</w:t>
      </w:r>
      <w:proofErr w:type="spellEnd"/>
      <w:r w:rsidRPr="007553E8">
        <w:rPr>
          <w:rFonts w:cs="Arial"/>
          <w:i/>
          <w:iCs/>
          <w:sz w:val="22"/>
          <w:szCs w:val="22"/>
        </w:rPr>
        <w:t>)</w:t>
      </w:r>
      <w:r w:rsidRPr="007553E8">
        <w:rPr>
          <w:rFonts w:cs="Arial"/>
          <w:sz w:val="22"/>
          <w:szCs w:val="22"/>
        </w:rPr>
        <w:t xml:space="preserve">, </w:t>
      </w:r>
      <w:r w:rsidR="00B14870">
        <w:rPr>
          <w:rFonts w:cs="Arial"/>
          <w:sz w:val="22"/>
          <w:szCs w:val="22"/>
        </w:rPr>
        <w:t>and under the M</w:t>
      </w:r>
      <w:r w:rsidR="00493105">
        <w:rPr>
          <w:rFonts w:cs="Arial"/>
          <w:sz w:val="22"/>
          <w:szCs w:val="22"/>
        </w:rPr>
        <w:t>a</w:t>
      </w:r>
      <w:r w:rsidR="00B14870">
        <w:rPr>
          <w:rFonts w:cs="Arial"/>
          <w:sz w:val="22"/>
          <w:szCs w:val="22"/>
        </w:rPr>
        <w:t>rine Safety</w:t>
      </w:r>
      <w:r w:rsidR="003D64F5">
        <w:rPr>
          <w:rFonts w:cs="Arial"/>
          <w:sz w:val="22"/>
          <w:szCs w:val="22"/>
        </w:rPr>
        <w:t xml:space="preserve"> (Domestic Commercial Vessel) National Law Act 2012 (</w:t>
      </w:r>
      <w:proofErr w:type="spellStart"/>
      <w:r w:rsidR="003D64F5">
        <w:rPr>
          <w:rFonts w:cs="Arial"/>
          <w:sz w:val="22"/>
          <w:szCs w:val="22"/>
        </w:rPr>
        <w:t>Cth</w:t>
      </w:r>
      <w:proofErr w:type="spellEnd"/>
      <w:r w:rsidR="002414BA">
        <w:rPr>
          <w:rFonts w:cs="Arial"/>
          <w:sz w:val="22"/>
          <w:szCs w:val="22"/>
        </w:rPr>
        <w:t xml:space="preserve">) (National Law), </w:t>
      </w:r>
      <w:r w:rsidRPr="007553E8">
        <w:rPr>
          <w:rFonts w:cs="Arial"/>
          <w:sz w:val="22"/>
          <w:szCs w:val="22"/>
        </w:rPr>
        <w:t>which are administered by the AMSA.</w:t>
      </w:r>
    </w:p>
    <w:p w14:paraId="712A6D38" w14:textId="3D28D003" w:rsidR="00BF0F0F" w:rsidRPr="007553E8" w:rsidRDefault="00BF0F0F" w:rsidP="00BF0F0F">
      <w:pPr>
        <w:spacing w:before="120" w:after="40"/>
        <w:rPr>
          <w:rFonts w:cs="Arial"/>
          <w:sz w:val="22"/>
          <w:szCs w:val="22"/>
        </w:rPr>
      </w:pPr>
      <w:r w:rsidRPr="007553E8">
        <w:rPr>
          <w:rFonts w:cs="Arial"/>
          <w:sz w:val="22"/>
          <w:szCs w:val="22"/>
        </w:rPr>
        <w:t xml:space="preserve">In certain operational contexts, both legislative frameworks apply concurrently. For example, when a stevedoring worker operates a ship-mounted crane, Marine Orders regulate the use of the crane as material handling equipment for loading or unloading cargo, while the relevant </w:t>
      </w:r>
      <w:r w:rsidR="00D514DB">
        <w:rPr>
          <w:rFonts w:cs="Arial"/>
          <w:sz w:val="22"/>
          <w:szCs w:val="22"/>
        </w:rPr>
        <w:t>s</w:t>
      </w:r>
      <w:r w:rsidR="00D514DB" w:rsidRPr="007553E8">
        <w:rPr>
          <w:rFonts w:cs="Arial"/>
          <w:sz w:val="22"/>
          <w:szCs w:val="22"/>
        </w:rPr>
        <w:t xml:space="preserve">tate </w:t>
      </w:r>
      <w:r w:rsidRPr="007553E8">
        <w:rPr>
          <w:rFonts w:cs="Arial"/>
          <w:sz w:val="22"/>
          <w:szCs w:val="22"/>
        </w:rPr>
        <w:t xml:space="preserve">or </w:t>
      </w:r>
      <w:r w:rsidR="00D514DB">
        <w:rPr>
          <w:rFonts w:cs="Arial"/>
          <w:sz w:val="22"/>
          <w:szCs w:val="22"/>
        </w:rPr>
        <w:t>t</w:t>
      </w:r>
      <w:r w:rsidR="00D514DB" w:rsidRPr="007553E8">
        <w:rPr>
          <w:rFonts w:cs="Arial"/>
          <w:sz w:val="22"/>
          <w:szCs w:val="22"/>
        </w:rPr>
        <w:t xml:space="preserve">erritory </w:t>
      </w:r>
      <w:r w:rsidRPr="007553E8">
        <w:rPr>
          <w:rFonts w:cs="Arial"/>
          <w:sz w:val="22"/>
          <w:szCs w:val="22"/>
        </w:rPr>
        <w:t>WHS legislation governs the systems of work and safety practices associated with the worker’s operation of that equipment.</w:t>
      </w:r>
    </w:p>
    <w:p w14:paraId="03ACE50C" w14:textId="6E0188C3" w:rsidR="00BF0F0F" w:rsidRPr="007553E8" w:rsidRDefault="00BF0F0F" w:rsidP="00BF0F0F">
      <w:pPr>
        <w:spacing w:before="120" w:after="40"/>
        <w:rPr>
          <w:rFonts w:cs="Arial"/>
          <w:sz w:val="22"/>
          <w:szCs w:val="22"/>
        </w:rPr>
      </w:pPr>
      <w:r w:rsidRPr="007553E8">
        <w:rPr>
          <w:rFonts w:cs="Arial"/>
          <w:sz w:val="22"/>
          <w:szCs w:val="22"/>
        </w:rPr>
        <w:t>Specifically, </w:t>
      </w:r>
      <w:r w:rsidRPr="00FD0C4E">
        <w:rPr>
          <w:rFonts w:cs="Arial"/>
          <w:sz w:val="22"/>
          <w:szCs w:val="22"/>
        </w:rPr>
        <w:t>Marine Order 32 – Cargo Handling Equipment 2016</w:t>
      </w:r>
      <w:r w:rsidRPr="007553E8">
        <w:rPr>
          <w:rFonts w:cs="Arial"/>
          <w:sz w:val="22"/>
          <w:szCs w:val="22"/>
        </w:rPr>
        <w:t> </w:t>
      </w:r>
      <w:r w:rsidR="00F36919" w:rsidRPr="00FD0C4E">
        <w:rPr>
          <w:rFonts w:cs="Arial"/>
          <w:sz w:val="22"/>
          <w:szCs w:val="22"/>
        </w:rPr>
        <w:t xml:space="preserve">(MO32) </w:t>
      </w:r>
      <w:r w:rsidRPr="007553E8">
        <w:rPr>
          <w:rFonts w:cs="Arial"/>
          <w:sz w:val="22"/>
          <w:szCs w:val="22"/>
        </w:rPr>
        <w:t>applies to:</w:t>
      </w:r>
    </w:p>
    <w:p w14:paraId="1ADBBFD3" w14:textId="31680792" w:rsidR="00BF0F0F" w:rsidRPr="007553E8" w:rsidRDefault="00F36919" w:rsidP="00082B8D">
      <w:pPr>
        <w:numPr>
          <w:ilvl w:val="0"/>
          <w:numId w:val="26"/>
        </w:numPr>
        <w:tabs>
          <w:tab w:val="clear" w:pos="720"/>
          <w:tab w:val="num" w:pos="426"/>
        </w:tabs>
        <w:spacing w:before="120" w:after="40"/>
        <w:ind w:hanging="578"/>
        <w:rPr>
          <w:rFonts w:cs="Arial"/>
          <w:sz w:val="22"/>
          <w:szCs w:val="22"/>
        </w:rPr>
      </w:pPr>
      <w:r>
        <w:rPr>
          <w:rFonts w:cs="Arial"/>
          <w:sz w:val="22"/>
          <w:szCs w:val="22"/>
        </w:rPr>
        <w:t>t</w:t>
      </w:r>
      <w:r w:rsidRPr="007553E8">
        <w:rPr>
          <w:rFonts w:cs="Arial"/>
          <w:sz w:val="22"/>
          <w:szCs w:val="22"/>
        </w:rPr>
        <w:t xml:space="preserve">he </w:t>
      </w:r>
      <w:r w:rsidR="00BF0F0F" w:rsidRPr="007553E8">
        <w:rPr>
          <w:rFonts w:cs="Arial"/>
          <w:sz w:val="22"/>
          <w:szCs w:val="22"/>
        </w:rPr>
        <w:t>loading or unloading of a Regulated Australian Vessel at any location</w:t>
      </w:r>
    </w:p>
    <w:p w14:paraId="7B5AB98C" w14:textId="7EF73D8F" w:rsidR="00BF0F0F" w:rsidRPr="007553E8" w:rsidRDefault="00F36919" w:rsidP="00082B8D">
      <w:pPr>
        <w:numPr>
          <w:ilvl w:val="0"/>
          <w:numId w:val="26"/>
        </w:numPr>
        <w:tabs>
          <w:tab w:val="clear" w:pos="720"/>
          <w:tab w:val="num" w:pos="426"/>
        </w:tabs>
        <w:spacing w:before="120" w:after="40"/>
        <w:ind w:hanging="578"/>
        <w:rPr>
          <w:rFonts w:cs="Arial"/>
          <w:sz w:val="22"/>
          <w:szCs w:val="22"/>
        </w:rPr>
      </w:pPr>
      <w:r>
        <w:rPr>
          <w:rFonts w:cs="Arial"/>
          <w:sz w:val="22"/>
          <w:szCs w:val="22"/>
        </w:rPr>
        <w:t>t</w:t>
      </w:r>
      <w:r w:rsidRPr="007553E8">
        <w:rPr>
          <w:rFonts w:cs="Arial"/>
          <w:sz w:val="22"/>
          <w:szCs w:val="22"/>
        </w:rPr>
        <w:t xml:space="preserve">he </w:t>
      </w:r>
      <w:r w:rsidR="00BF0F0F" w:rsidRPr="007553E8">
        <w:rPr>
          <w:rFonts w:cs="Arial"/>
          <w:sz w:val="22"/>
          <w:szCs w:val="22"/>
        </w:rPr>
        <w:t>loading or unloading of a foreign vessel at an Australian port</w:t>
      </w:r>
      <w:r>
        <w:rPr>
          <w:rFonts w:cs="Arial"/>
          <w:sz w:val="22"/>
          <w:szCs w:val="22"/>
        </w:rPr>
        <w:t>,</w:t>
      </w:r>
      <w:r w:rsidR="00BF0F0F" w:rsidRPr="007553E8">
        <w:rPr>
          <w:rFonts w:cs="Arial"/>
          <w:sz w:val="22"/>
          <w:szCs w:val="22"/>
        </w:rPr>
        <w:t xml:space="preserve"> and</w:t>
      </w:r>
    </w:p>
    <w:p w14:paraId="628D1D07" w14:textId="344576D8" w:rsidR="00BF0F0F" w:rsidRPr="007553E8" w:rsidRDefault="00F36919" w:rsidP="00082B8D">
      <w:pPr>
        <w:numPr>
          <w:ilvl w:val="0"/>
          <w:numId w:val="26"/>
        </w:numPr>
        <w:tabs>
          <w:tab w:val="clear" w:pos="720"/>
          <w:tab w:val="num" w:pos="426"/>
        </w:tabs>
        <w:spacing w:before="120" w:after="40"/>
        <w:ind w:left="426" w:hanging="284"/>
        <w:rPr>
          <w:rFonts w:cs="Arial"/>
          <w:sz w:val="22"/>
          <w:szCs w:val="22"/>
        </w:rPr>
      </w:pPr>
      <w:r>
        <w:rPr>
          <w:rFonts w:cs="Arial"/>
          <w:sz w:val="22"/>
          <w:szCs w:val="22"/>
        </w:rPr>
        <w:t>t</w:t>
      </w:r>
      <w:r w:rsidRPr="007553E8">
        <w:rPr>
          <w:rFonts w:cs="Arial"/>
          <w:sz w:val="22"/>
          <w:szCs w:val="22"/>
        </w:rPr>
        <w:t xml:space="preserve">he </w:t>
      </w:r>
      <w:r w:rsidR="00BF0F0F" w:rsidRPr="007553E8">
        <w:rPr>
          <w:rFonts w:cs="Arial"/>
          <w:sz w:val="22"/>
          <w:szCs w:val="22"/>
        </w:rPr>
        <w:t>loading or unloading of a foreign vessel classified as an offshore industry mobile unit, whether at an Australian port or within Australia’s territorial sea.</w:t>
      </w:r>
    </w:p>
    <w:p w14:paraId="11F156AB" w14:textId="455173B4" w:rsidR="00042B16" w:rsidRDefault="00BF0F0F" w:rsidP="00BF0F0F">
      <w:pPr>
        <w:spacing w:before="120" w:after="40"/>
        <w:rPr>
          <w:rFonts w:cs="Arial"/>
          <w:sz w:val="22"/>
          <w:szCs w:val="22"/>
        </w:rPr>
      </w:pPr>
      <w:r w:rsidRPr="007553E8">
        <w:rPr>
          <w:rFonts w:cs="Arial"/>
          <w:sz w:val="22"/>
          <w:szCs w:val="22"/>
        </w:rPr>
        <w:t>MO32 sets out requirements for the inspection, testing, and use of cargo handling equipment, including safe working loads, certification, and maintenance and repair standards.</w:t>
      </w:r>
      <w:r w:rsidR="00FF468B">
        <w:rPr>
          <w:rFonts w:cs="Arial"/>
          <w:sz w:val="22"/>
          <w:szCs w:val="22"/>
        </w:rPr>
        <w:t xml:space="preserve"> MO32 does not prescribe any operator licensing or competency requirements for pe</w:t>
      </w:r>
      <w:r w:rsidR="00EB6F01">
        <w:rPr>
          <w:rFonts w:cs="Arial"/>
          <w:sz w:val="22"/>
          <w:szCs w:val="22"/>
        </w:rPr>
        <w:t>rsons</w:t>
      </w:r>
      <w:r w:rsidR="00CF519B">
        <w:rPr>
          <w:rFonts w:cs="Arial"/>
          <w:sz w:val="22"/>
          <w:szCs w:val="22"/>
        </w:rPr>
        <w:t xml:space="preserve"> operating cargo</w:t>
      </w:r>
      <w:r w:rsidR="001234D0">
        <w:rPr>
          <w:rFonts w:cs="Arial"/>
          <w:sz w:val="22"/>
          <w:szCs w:val="22"/>
        </w:rPr>
        <w:t xml:space="preserve"> </w:t>
      </w:r>
      <w:r w:rsidR="00CF519B">
        <w:rPr>
          <w:rFonts w:cs="Arial"/>
          <w:sz w:val="22"/>
          <w:szCs w:val="22"/>
        </w:rPr>
        <w:t>handling equipment</w:t>
      </w:r>
      <w:r w:rsidR="00572B91">
        <w:rPr>
          <w:rFonts w:cs="Arial"/>
          <w:sz w:val="22"/>
          <w:szCs w:val="22"/>
        </w:rPr>
        <w:t>, including cranes. Licensing requirements for crane operators arise</w:t>
      </w:r>
      <w:r w:rsidR="00D76AF3">
        <w:rPr>
          <w:rFonts w:cs="Arial"/>
          <w:sz w:val="22"/>
          <w:szCs w:val="22"/>
        </w:rPr>
        <w:t xml:space="preserve"> only under </w:t>
      </w:r>
      <w:r w:rsidR="00BA631E">
        <w:rPr>
          <w:rFonts w:cs="Arial"/>
          <w:sz w:val="22"/>
          <w:szCs w:val="22"/>
        </w:rPr>
        <w:t>s</w:t>
      </w:r>
      <w:r w:rsidR="00D76AF3">
        <w:rPr>
          <w:rFonts w:cs="Arial"/>
          <w:sz w:val="22"/>
          <w:szCs w:val="22"/>
        </w:rPr>
        <w:t xml:space="preserve">tate and </w:t>
      </w:r>
      <w:r w:rsidR="00BA631E">
        <w:rPr>
          <w:rFonts w:cs="Arial"/>
          <w:sz w:val="22"/>
          <w:szCs w:val="22"/>
        </w:rPr>
        <w:t>t</w:t>
      </w:r>
      <w:r w:rsidR="00D76AF3">
        <w:rPr>
          <w:rFonts w:cs="Arial"/>
          <w:sz w:val="22"/>
          <w:szCs w:val="22"/>
        </w:rPr>
        <w:t>erritory WHS high risk work licensing frameworks.</w:t>
      </w:r>
    </w:p>
    <w:p w14:paraId="1F3D1422" w14:textId="6C736221" w:rsidR="008F7113" w:rsidRDefault="00E239E3" w:rsidP="00BF0F0F">
      <w:pPr>
        <w:spacing w:before="120" w:after="40"/>
        <w:rPr>
          <w:rFonts w:cs="Arial"/>
          <w:sz w:val="22"/>
          <w:szCs w:val="22"/>
        </w:rPr>
      </w:pPr>
      <w:r>
        <w:rPr>
          <w:rFonts w:cs="Arial"/>
          <w:sz w:val="22"/>
          <w:szCs w:val="22"/>
        </w:rPr>
        <w:t>Similarly, neither the National Law Act nor its associated Marine Orders prescribe licensing or competency requirements for operating</w:t>
      </w:r>
      <w:r w:rsidR="00436DA5">
        <w:rPr>
          <w:rFonts w:cs="Arial"/>
          <w:sz w:val="22"/>
          <w:szCs w:val="22"/>
        </w:rPr>
        <w:t xml:space="preserve"> items of plant that would otherwise require a high risk work licence under the model WHS laws, re</w:t>
      </w:r>
      <w:r w:rsidR="00313C46">
        <w:rPr>
          <w:rFonts w:cs="Arial"/>
          <w:sz w:val="22"/>
          <w:szCs w:val="22"/>
        </w:rPr>
        <w:t>flecting the concurrent operation of WHS legis</w:t>
      </w:r>
      <w:r w:rsidR="003433E1">
        <w:rPr>
          <w:rFonts w:cs="Arial"/>
          <w:sz w:val="22"/>
          <w:szCs w:val="22"/>
        </w:rPr>
        <w:t>lation and the intention to avoid duplication or inconsistency.</w:t>
      </w:r>
    </w:p>
    <w:p w14:paraId="5A9F8868" w14:textId="4F588D43" w:rsidR="00BF0F0F" w:rsidRDefault="00BF0F0F" w:rsidP="00BF0F0F">
      <w:pPr>
        <w:spacing w:before="120" w:after="40"/>
        <w:rPr>
          <w:rFonts w:cs="Arial"/>
          <w:sz w:val="22"/>
          <w:szCs w:val="22"/>
        </w:rPr>
      </w:pPr>
      <w:r w:rsidRPr="007553E8">
        <w:rPr>
          <w:rFonts w:cs="Arial"/>
          <w:sz w:val="22"/>
          <w:szCs w:val="22"/>
        </w:rPr>
        <w:t xml:space="preserve">Importantly, MO32 </w:t>
      </w:r>
      <w:r w:rsidR="002C63DF">
        <w:rPr>
          <w:rFonts w:cs="Arial"/>
          <w:sz w:val="22"/>
          <w:szCs w:val="22"/>
        </w:rPr>
        <w:t>does not</w:t>
      </w:r>
      <w:r w:rsidRPr="007553E8">
        <w:rPr>
          <w:rFonts w:cs="Arial"/>
          <w:sz w:val="22"/>
          <w:szCs w:val="22"/>
        </w:rPr>
        <w:t xml:space="preserve"> override or limit the operation of </w:t>
      </w:r>
      <w:r w:rsidR="00D514DB">
        <w:rPr>
          <w:rFonts w:cs="Arial"/>
          <w:sz w:val="22"/>
          <w:szCs w:val="22"/>
        </w:rPr>
        <w:t>s</w:t>
      </w:r>
      <w:r w:rsidR="00D514DB" w:rsidRPr="007553E8">
        <w:rPr>
          <w:rFonts w:cs="Arial"/>
          <w:sz w:val="22"/>
          <w:szCs w:val="22"/>
        </w:rPr>
        <w:t xml:space="preserve">tate </w:t>
      </w:r>
      <w:r w:rsidRPr="007553E8">
        <w:rPr>
          <w:rFonts w:cs="Arial"/>
          <w:sz w:val="22"/>
          <w:szCs w:val="22"/>
        </w:rPr>
        <w:t xml:space="preserve">or </w:t>
      </w:r>
      <w:r w:rsidR="00D514DB">
        <w:rPr>
          <w:rFonts w:cs="Arial"/>
          <w:sz w:val="22"/>
          <w:szCs w:val="22"/>
        </w:rPr>
        <w:t>t</w:t>
      </w:r>
      <w:r w:rsidR="00D514DB" w:rsidRPr="007553E8">
        <w:rPr>
          <w:rFonts w:cs="Arial"/>
          <w:sz w:val="22"/>
          <w:szCs w:val="22"/>
        </w:rPr>
        <w:t xml:space="preserve">erritory </w:t>
      </w:r>
      <w:r w:rsidRPr="007553E8">
        <w:rPr>
          <w:rFonts w:cs="Arial"/>
          <w:sz w:val="22"/>
          <w:szCs w:val="22"/>
        </w:rPr>
        <w:t>laws that impose additional obligations or liabilities</w:t>
      </w:r>
      <w:r w:rsidR="00FE2A56">
        <w:rPr>
          <w:rFonts w:cs="Arial"/>
          <w:sz w:val="22"/>
          <w:szCs w:val="22"/>
        </w:rPr>
        <w:t xml:space="preserve">, </w:t>
      </w:r>
      <w:r w:rsidR="00FE2A56" w:rsidRPr="00FE2A56">
        <w:rPr>
          <w:rFonts w:cs="Arial"/>
          <w:sz w:val="22"/>
          <w:szCs w:val="22"/>
        </w:rPr>
        <w:t>and usual statutory interpretation rules apply where Commonwealth maritime law and WHS laws operate concurrently</w:t>
      </w:r>
      <w:r w:rsidRPr="007553E8">
        <w:rPr>
          <w:rFonts w:cs="Arial"/>
          <w:sz w:val="22"/>
          <w:szCs w:val="22"/>
        </w:rPr>
        <w:t xml:space="preserve"> This reflects a clear legislative intent for MO32 to operate in </w:t>
      </w:r>
      <w:r w:rsidRPr="007553E8">
        <w:rPr>
          <w:rFonts w:cs="Arial"/>
          <w:b/>
          <w:bCs/>
          <w:sz w:val="22"/>
          <w:szCs w:val="22"/>
        </w:rPr>
        <w:t>conjunction with</w:t>
      </w:r>
      <w:r w:rsidRPr="007553E8">
        <w:rPr>
          <w:rFonts w:cs="Arial"/>
          <w:sz w:val="22"/>
          <w:szCs w:val="22"/>
        </w:rPr>
        <w:t>, and </w:t>
      </w:r>
      <w:r w:rsidRPr="007553E8">
        <w:rPr>
          <w:rFonts w:cs="Arial"/>
          <w:b/>
          <w:bCs/>
          <w:sz w:val="22"/>
          <w:szCs w:val="22"/>
        </w:rPr>
        <w:t>complementary to</w:t>
      </w:r>
      <w:r w:rsidRPr="007553E8">
        <w:rPr>
          <w:rFonts w:cs="Arial"/>
          <w:sz w:val="22"/>
          <w:szCs w:val="22"/>
        </w:rPr>
        <w:t>, existing WHS laws, ensuring a comprehensive and integrated approach to safety in maritime cargo operations.</w:t>
      </w:r>
    </w:p>
    <w:p w14:paraId="3540E914" w14:textId="77777777" w:rsidR="00BF0F0F" w:rsidRPr="004F0C01" w:rsidRDefault="00BF0F0F" w:rsidP="00BF0F0F">
      <w:pPr>
        <w:spacing w:before="120" w:after="40"/>
        <w:rPr>
          <w:rFonts w:cstheme="minorHAnsi"/>
          <w:b/>
          <w:bCs/>
          <w:i/>
          <w:iCs/>
          <w:sz w:val="22"/>
          <w:szCs w:val="22"/>
        </w:rPr>
      </w:pPr>
      <w:r w:rsidRPr="004F0C01">
        <w:rPr>
          <w:rFonts w:cstheme="minorHAnsi"/>
          <w:b/>
          <w:bCs/>
          <w:i/>
          <w:iCs/>
          <w:sz w:val="22"/>
          <w:szCs w:val="22"/>
        </w:rPr>
        <w:t>Domestic commercial vessels</w:t>
      </w:r>
    </w:p>
    <w:p w14:paraId="163A824E" w14:textId="77777777" w:rsidR="00BF0F0F" w:rsidRPr="00FF0F89" w:rsidRDefault="00BF0F0F" w:rsidP="00BF0F0F">
      <w:pPr>
        <w:rPr>
          <w:rFonts w:cstheme="minorHAnsi"/>
          <w:sz w:val="22"/>
          <w:szCs w:val="22"/>
        </w:rPr>
      </w:pPr>
      <w:r w:rsidRPr="007553E8">
        <w:rPr>
          <w:rFonts w:cstheme="minorHAnsi"/>
          <w:sz w:val="22"/>
          <w:szCs w:val="22"/>
        </w:rPr>
        <w:t>A domestic commercial vessel (DCV) is generally defined as a vessel used for commercial, governmental, or research purposes within</w:t>
      </w:r>
      <w:r>
        <w:rPr>
          <w:rFonts w:cstheme="minorHAnsi"/>
          <w:sz w:val="22"/>
          <w:szCs w:val="22"/>
        </w:rPr>
        <w:t xml:space="preserve"> </w:t>
      </w:r>
      <w:r w:rsidRPr="00FF0F89">
        <w:rPr>
          <w:rFonts w:cstheme="minorHAnsi"/>
          <w:sz w:val="22"/>
          <w:szCs w:val="22"/>
        </w:rPr>
        <w:t>Australia's Exclusive Economic Zone</w:t>
      </w:r>
      <w:r w:rsidRPr="00FF0F89">
        <w:rPr>
          <w:rStyle w:val="FootnoteReference"/>
          <w:rFonts w:cstheme="minorHAnsi"/>
          <w:sz w:val="22"/>
          <w:szCs w:val="22"/>
        </w:rPr>
        <w:footnoteReference w:id="2"/>
      </w:r>
      <w:r>
        <w:rPr>
          <w:rFonts w:cstheme="minorHAnsi"/>
          <w:sz w:val="22"/>
          <w:szCs w:val="22"/>
        </w:rPr>
        <w:t xml:space="preserve">. </w:t>
      </w:r>
      <w:r w:rsidRPr="007553E8">
        <w:rPr>
          <w:rFonts w:cstheme="minorHAnsi"/>
          <w:sz w:val="22"/>
          <w:szCs w:val="22"/>
        </w:rPr>
        <w:t xml:space="preserve">This </w:t>
      </w:r>
      <w:r w:rsidRPr="007553E8">
        <w:rPr>
          <w:rFonts w:cstheme="minorHAnsi"/>
          <w:sz w:val="22"/>
          <w:szCs w:val="22"/>
        </w:rPr>
        <w:lastRenderedPageBreak/>
        <w:t>includes vessels engaged in activities such as fishing, passenger and freight transport, and scientific research</w:t>
      </w:r>
      <w:r>
        <w:rPr>
          <w:rFonts w:cstheme="minorHAnsi"/>
          <w:sz w:val="22"/>
          <w:szCs w:val="22"/>
        </w:rPr>
        <w:t>.</w:t>
      </w:r>
    </w:p>
    <w:p w14:paraId="5DA59C3D" w14:textId="2778AE81" w:rsidR="00BF0F0F" w:rsidRPr="007F6C3E" w:rsidRDefault="00BF0F0F" w:rsidP="00BF0F0F">
      <w:pPr>
        <w:spacing w:after="60"/>
        <w:rPr>
          <w:rFonts w:cstheme="minorHAnsi"/>
          <w:sz w:val="22"/>
          <w:szCs w:val="22"/>
        </w:rPr>
      </w:pPr>
      <w:r w:rsidRPr="007F6C3E">
        <w:rPr>
          <w:rFonts w:cstheme="minorHAnsi"/>
          <w:sz w:val="22"/>
          <w:szCs w:val="22"/>
        </w:rPr>
        <w:t>The regulatory framework governing DCVs comprises both Commonwealth and State/Territory legislation. At the Commonwealth level, DCVs are regulated under the </w:t>
      </w:r>
      <w:r w:rsidRPr="007F6C3E">
        <w:rPr>
          <w:rFonts w:cstheme="minorHAnsi"/>
          <w:i/>
          <w:iCs/>
          <w:sz w:val="22"/>
          <w:szCs w:val="22"/>
        </w:rPr>
        <w:t>Marine Safety (Domestic Commercial Vessel) National Law Act 2012</w:t>
      </w:r>
      <w:r w:rsidRPr="007F6C3E">
        <w:rPr>
          <w:rFonts w:cstheme="minorHAnsi"/>
          <w:sz w:val="22"/>
          <w:szCs w:val="22"/>
        </w:rPr>
        <w:t> </w:t>
      </w:r>
      <w:r w:rsidR="00723A02">
        <w:rPr>
          <w:rFonts w:cstheme="minorHAnsi"/>
          <w:sz w:val="22"/>
          <w:szCs w:val="22"/>
        </w:rPr>
        <w:t xml:space="preserve">(the National </w:t>
      </w:r>
      <w:r w:rsidR="009851AC">
        <w:rPr>
          <w:rFonts w:cstheme="minorHAnsi"/>
          <w:sz w:val="22"/>
          <w:szCs w:val="22"/>
        </w:rPr>
        <w:t xml:space="preserve">Law Act) </w:t>
      </w:r>
      <w:r w:rsidRPr="007F6C3E">
        <w:rPr>
          <w:rFonts w:cstheme="minorHAnsi"/>
          <w:sz w:val="22"/>
          <w:szCs w:val="22"/>
        </w:rPr>
        <w:t>and associated Marine Orders made under that Act. In addition, State and Territory laws—particularly WHS legislation—apply to both the physical condition of the vessel and the activities conducted onboard.</w:t>
      </w:r>
    </w:p>
    <w:p w14:paraId="3567A8F3" w14:textId="5159F6C8" w:rsidR="00BF0F0F" w:rsidRPr="007F6C3E" w:rsidRDefault="00BF0F0F" w:rsidP="00BF0F0F">
      <w:pPr>
        <w:spacing w:after="60"/>
        <w:rPr>
          <w:rFonts w:cstheme="minorHAnsi"/>
          <w:sz w:val="22"/>
          <w:szCs w:val="22"/>
        </w:rPr>
      </w:pPr>
      <w:r w:rsidRPr="007F6C3E">
        <w:rPr>
          <w:rFonts w:cstheme="minorHAnsi"/>
          <w:sz w:val="22"/>
          <w:szCs w:val="22"/>
        </w:rPr>
        <w:t xml:space="preserve">The National Law Act explicitly permits the concurrent operation of </w:t>
      </w:r>
      <w:r w:rsidR="00D514DB">
        <w:rPr>
          <w:rFonts w:cstheme="minorHAnsi"/>
          <w:sz w:val="22"/>
          <w:szCs w:val="22"/>
        </w:rPr>
        <w:t>s</w:t>
      </w:r>
      <w:r w:rsidR="00D514DB" w:rsidRPr="007F6C3E">
        <w:rPr>
          <w:rFonts w:cstheme="minorHAnsi"/>
          <w:sz w:val="22"/>
          <w:szCs w:val="22"/>
        </w:rPr>
        <w:t xml:space="preserve">tate </w:t>
      </w:r>
      <w:r w:rsidRPr="007F6C3E">
        <w:rPr>
          <w:rFonts w:cstheme="minorHAnsi"/>
          <w:sz w:val="22"/>
          <w:szCs w:val="22"/>
        </w:rPr>
        <w:t xml:space="preserve">and </w:t>
      </w:r>
      <w:r w:rsidR="00D514DB">
        <w:rPr>
          <w:rFonts w:cstheme="minorHAnsi"/>
          <w:sz w:val="22"/>
          <w:szCs w:val="22"/>
        </w:rPr>
        <w:t>t</w:t>
      </w:r>
      <w:r w:rsidR="00D514DB" w:rsidRPr="007F6C3E">
        <w:rPr>
          <w:rFonts w:cstheme="minorHAnsi"/>
          <w:sz w:val="22"/>
          <w:szCs w:val="22"/>
        </w:rPr>
        <w:t xml:space="preserve">erritory </w:t>
      </w:r>
      <w:r w:rsidRPr="007F6C3E">
        <w:rPr>
          <w:rFonts w:cstheme="minorHAnsi"/>
          <w:sz w:val="22"/>
          <w:szCs w:val="22"/>
        </w:rPr>
        <w:t>WHS laws. Where inconsistencies arise between the two frameworks, the provisions of WHS legislation take precedence. This ensures that safety obligations under WHS laws remain enforceable and that vessel operations are subject to a consistent and complementary regulatory approach.</w:t>
      </w:r>
    </w:p>
    <w:p w14:paraId="25E23DCC" w14:textId="77777777" w:rsidR="009243F6" w:rsidRDefault="009243F6" w:rsidP="00A77E25">
      <w:pPr>
        <w:spacing w:after="200"/>
        <w:rPr>
          <w:rFonts w:cstheme="minorHAnsi"/>
          <w:sz w:val="22"/>
          <w:szCs w:val="22"/>
        </w:rPr>
      </w:pPr>
    </w:p>
    <w:p w14:paraId="0047A513" w14:textId="77777777" w:rsidR="00C1540E" w:rsidRDefault="00C1540E" w:rsidP="00A77E25">
      <w:pPr>
        <w:spacing w:after="200"/>
        <w:rPr>
          <w:rFonts w:cstheme="minorHAnsi"/>
          <w:sz w:val="22"/>
          <w:szCs w:val="22"/>
        </w:rPr>
      </w:pPr>
    </w:p>
    <w:p w14:paraId="6C1056C2" w14:textId="77777777" w:rsidR="00C1540E" w:rsidRDefault="00C1540E" w:rsidP="00A77E25">
      <w:pPr>
        <w:spacing w:after="200"/>
        <w:rPr>
          <w:rFonts w:cstheme="minorHAnsi"/>
          <w:sz w:val="22"/>
          <w:szCs w:val="22"/>
        </w:rPr>
      </w:pPr>
    </w:p>
    <w:p w14:paraId="16940CA8" w14:textId="77777777" w:rsidR="00C1540E" w:rsidRDefault="00C1540E" w:rsidP="00A77E25">
      <w:pPr>
        <w:spacing w:after="200"/>
        <w:rPr>
          <w:rFonts w:cstheme="minorHAnsi"/>
          <w:sz w:val="22"/>
          <w:szCs w:val="22"/>
        </w:rPr>
      </w:pPr>
    </w:p>
    <w:p w14:paraId="7A18722B" w14:textId="77777777" w:rsidR="00C1540E" w:rsidRDefault="00C1540E" w:rsidP="00A77E25">
      <w:pPr>
        <w:spacing w:after="200"/>
        <w:rPr>
          <w:rFonts w:cstheme="minorHAnsi"/>
          <w:sz w:val="22"/>
          <w:szCs w:val="22"/>
        </w:rPr>
      </w:pPr>
    </w:p>
    <w:p w14:paraId="07D1A7D4" w14:textId="77777777" w:rsidR="00C1540E" w:rsidRPr="0085187B" w:rsidRDefault="00C1540E" w:rsidP="00C1540E">
      <w:pPr>
        <w:pStyle w:val="SWAHeading1"/>
        <w:rPr>
          <w:sz w:val="36"/>
          <w:szCs w:val="36"/>
        </w:rPr>
      </w:pPr>
      <w:bookmarkStart w:id="45" w:name="_Toc201662849"/>
      <w:bookmarkStart w:id="46" w:name="_Toc221540317"/>
      <w:bookmarkStart w:id="47" w:name="_Hlk201643100"/>
      <w:r w:rsidRPr="0085187B">
        <w:rPr>
          <w:sz w:val="36"/>
          <w:szCs w:val="36"/>
        </w:rPr>
        <w:lastRenderedPageBreak/>
        <w:t>What is the problem?</w:t>
      </w:r>
      <w:bookmarkEnd w:id="45"/>
      <w:bookmarkEnd w:id="46"/>
    </w:p>
    <w:bookmarkEnd w:id="47"/>
    <w:p w14:paraId="4898E9AE" w14:textId="77777777" w:rsidR="00930DBB" w:rsidRPr="001D763D" w:rsidRDefault="00930DBB" w:rsidP="00930DBB">
      <w:pPr>
        <w:spacing w:after="40"/>
        <w:rPr>
          <w:rFonts w:cstheme="minorHAnsi"/>
          <w:i/>
          <w:iCs/>
          <w:sz w:val="22"/>
          <w:szCs w:val="22"/>
        </w:rPr>
      </w:pPr>
      <w:r w:rsidRPr="001D763D">
        <w:rPr>
          <w:rFonts w:cstheme="minorHAnsi"/>
          <w:i/>
          <w:iCs/>
          <w:sz w:val="22"/>
          <w:szCs w:val="22"/>
        </w:rPr>
        <w:t>Legislative confusion</w:t>
      </w:r>
    </w:p>
    <w:p w14:paraId="6E7D8E6E" w14:textId="253FCF4B" w:rsidR="00F51BB6" w:rsidRPr="00F51BB6" w:rsidRDefault="00F51BB6" w:rsidP="00F51BB6">
      <w:pPr>
        <w:rPr>
          <w:rFonts w:cstheme="minorHAnsi"/>
          <w:sz w:val="22"/>
          <w:szCs w:val="22"/>
        </w:rPr>
      </w:pPr>
      <w:r w:rsidRPr="00F51BB6">
        <w:rPr>
          <w:rFonts w:cstheme="minorHAnsi"/>
          <w:sz w:val="22"/>
          <w:szCs w:val="22"/>
        </w:rPr>
        <w:t>Stakeholder feedback to the 2022</w:t>
      </w:r>
      <w:r w:rsidR="0076459E">
        <w:rPr>
          <w:rFonts w:cstheme="minorHAnsi"/>
          <w:sz w:val="22"/>
          <w:szCs w:val="22"/>
        </w:rPr>
        <w:t xml:space="preserve"> discussion paper</w:t>
      </w:r>
      <w:r w:rsidRPr="00F51BB6">
        <w:rPr>
          <w:rFonts w:cstheme="minorHAnsi"/>
          <w:sz w:val="22"/>
          <w:szCs w:val="22"/>
        </w:rPr>
        <w:t xml:space="preserve"> </w:t>
      </w:r>
      <w:hyperlink r:id="rId29" w:history="1">
        <w:r w:rsidR="00B75B20" w:rsidRPr="002F206D">
          <w:rPr>
            <w:rStyle w:val="Hyperlink"/>
            <w:rFonts w:cstheme="minorHAnsi"/>
            <w:i/>
            <w:iCs/>
            <w:sz w:val="22"/>
            <w:szCs w:val="22"/>
          </w:rPr>
          <w:t>Review of crane licensing under the model WHS laws</w:t>
        </w:r>
      </w:hyperlink>
      <w:r w:rsidRPr="00F51BB6">
        <w:rPr>
          <w:rFonts w:cstheme="minorHAnsi"/>
          <w:sz w:val="22"/>
          <w:szCs w:val="22"/>
        </w:rPr>
        <w:t xml:space="preserve"> highlighted significant uncertainty about how high risk work (HRW) licensing requirements apply in port and maritime contexts. </w:t>
      </w:r>
      <w:proofErr w:type="gramStart"/>
      <w:r w:rsidRPr="00F51BB6">
        <w:rPr>
          <w:rFonts w:cstheme="minorHAnsi"/>
          <w:sz w:val="22"/>
          <w:szCs w:val="22"/>
        </w:rPr>
        <w:t>In particular, there</w:t>
      </w:r>
      <w:proofErr w:type="gramEnd"/>
      <w:r w:rsidRPr="00F51BB6">
        <w:rPr>
          <w:rFonts w:cstheme="minorHAnsi"/>
          <w:sz w:val="22"/>
          <w:szCs w:val="22"/>
        </w:rPr>
        <w:t xml:space="preserve"> has been confusion regarding whether a HRW licence is required when operating cranes </w:t>
      </w:r>
      <w:r w:rsidR="00AF27D4">
        <w:rPr>
          <w:rFonts w:cstheme="minorHAnsi"/>
          <w:sz w:val="22"/>
          <w:szCs w:val="22"/>
        </w:rPr>
        <w:t>secured</w:t>
      </w:r>
      <w:r w:rsidR="00AF27D4" w:rsidRPr="00F51BB6">
        <w:rPr>
          <w:rFonts w:cstheme="minorHAnsi"/>
          <w:sz w:val="22"/>
          <w:szCs w:val="22"/>
        </w:rPr>
        <w:t xml:space="preserve"> </w:t>
      </w:r>
      <w:r w:rsidRPr="00F51BB6">
        <w:rPr>
          <w:rFonts w:cstheme="minorHAnsi"/>
          <w:sz w:val="22"/>
          <w:szCs w:val="22"/>
        </w:rPr>
        <w:t>on vessels.</w:t>
      </w:r>
    </w:p>
    <w:p w14:paraId="61CDF4B7" w14:textId="09566E59" w:rsidR="00F51BB6" w:rsidRPr="00F51BB6" w:rsidRDefault="00F51BB6" w:rsidP="00F51BB6">
      <w:pPr>
        <w:rPr>
          <w:rFonts w:cstheme="minorHAnsi"/>
          <w:sz w:val="22"/>
          <w:szCs w:val="22"/>
        </w:rPr>
      </w:pPr>
      <w:r w:rsidRPr="00F51BB6">
        <w:rPr>
          <w:rFonts w:cstheme="minorHAnsi"/>
          <w:sz w:val="22"/>
          <w:szCs w:val="22"/>
        </w:rPr>
        <w:t xml:space="preserve">To address this, amendments to the model WHS </w:t>
      </w:r>
      <w:r w:rsidR="001052EA">
        <w:rPr>
          <w:rFonts w:cstheme="minorHAnsi"/>
          <w:sz w:val="22"/>
          <w:szCs w:val="22"/>
        </w:rPr>
        <w:t>R</w:t>
      </w:r>
      <w:r w:rsidR="001052EA" w:rsidRPr="00F51BB6">
        <w:rPr>
          <w:rFonts w:cstheme="minorHAnsi"/>
          <w:sz w:val="22"/>
          <w:szCs w:val="22"/>
        </w:rPr>
        <w:t xml:space="preserve">egulations </w:t>
      </w:r>
      <w:r w:rsidRPr="00F51BB6">
        <w:rPr>
          <w:rFonts w:cstheme="minorHAnsi"/>
          <w:sz w:val="22"/>
          <w:szCs w:val="22"/>
        </w:rPr>
        <w:t xml:space="preserve">are currently underway to clarify that a HRW licence will be required for the operation of cranes on board vessels. These changes are intended to remove ambiguity and ensure consistent application of </w:t>
      </w:r>
      <w:r w:rsidR="001052EA">
        <w:rPr>
          <w:rFonts w:cstheme="minorHAnsi"/>
          <w:sz w:val="22"/>
          <w:szCs w:val="22"/>
        </w:rPr>
        <w:t xml:space="preserve">HRW </w:t>
      </w:r>
      <w:r w:rsidRPr="00F51BB6">
        <w:rPr>
          <w:rFonts w:cstheme="minorHAnsi"/>
          <w:sz w:val="22"/>
          <w:szCs w:val="22"/>
        </w:rPr>
        <w:t>licensing requirements across maritime settings.</w:t>
      </w:r>
    </w:p>
    <w:p w14:paraId="3531F9E8" w14:textId="468A1539" w:rsidR="00F51BB6" w:rsidRPr="00F51BB6" w:rsidRDefault="00F51BB6" w:rsidP="00F51BB6">
      <w:pPr>
        <w:rPr>
          <w:rFonts w:cstheme="minorHAnsi"/>
          <w:sz w:val="22"/>
          <w:szCs w:val="22"/>
        </w:rPr>
      </w:pPr>
      <w:r w:rsidRPr="00F51BB6">
        <w:rPr>
          <w:rFonts w:cstheme="minorHAnsi"/>
          <w:sz w:val="22"/>
          <w:szCs w:val="22"/>
        </w:rPr>
        <w:t xml:space="preserve">However, stakeholders have also raised broader concerns about the interface between WHS and maritime </w:t>
      </w:r>
      <w:r w:rsidR="00CC4F04">
        <w:rPr>
          <w:rFonts w:cstheme="minorHAnsi"/>
          <w:sz w:val="22"/>
          <w:szCs w:val="22"/>
        </w:rPr>
        <w:t>laws</w:t>
      </w:r>
      <w:r w:rsidRPr="00F51BB6">
        <w:rPr>
          <w:rFonts w:cstheme="minorHAnsi"/>
          <w:sz w:val="22"/>
          <w:szCs w:val="22"/>
        </w:rPr>
        <w:t xml:space="preserve">. Jurisdictional boundaries can remain unclear, especially where Australian workers operate cranes on </w:t>
      </w:r>
      <w:r w:rsidR="004D044F">
        <w:rPr>
          <w:rFonts w:cstheme="minorHAnsi"/>
          <w:sz w:val="22"/>
          <w:szCs w:val="22"/>
        </w:rPr>
        <w:t>foreign</w:t>
      </w:r>
      <w:r w:rsidR="004D044F" w:rsidRPr="00F51BB6">
        <w:rPr>
          <w:rFonts w:cstheme="minorHAnsi"/>
          <w:sz w:val="22"/>
          <w:szCs w:val="22"/>
        </w:rPr>
        <w:t xml:space="preserve"> </w:t>
      </w:r>
      <w:r w:rsidRPr="00F51BB6">
        <w:rPr>
          <w:rFonts w:cstheme="minorHAnsi"/>
          <w:sz w:val="22"/>
          <w:szCs w:val="22"/>
        </w:rPr>
        <w:t>vessels. This has led to inconsistent interpretations, uncertainty around enforcement responsibilities, and potential safety risks where operators may not hold the appropriate qualifications. The absence of nationally consistent guidance also places pressure on employers, port authorities, and regulators to interpret obligations without a clear framework.</w:t>
      </w:r>
    </w:p>
    <w:p w14:paraId="603970DD" w14:textId="3A808A16" w:rsidR="00CC4F04" w:rsidRDefault="00CC4F04" w:rsidP="00F51BB6">
      <w:pPr>
        <w:rPr>
          <w:rFonts w:cstheme="minorHAnsi"/>
          <w:sz w:val="22"/>
          <w:szCs w:val="22"/>
        </w:rPr>
      </w:pPr>
      <w:r>
        <w:rPr>
          <w:rFonts w:cstheme="minorHAnsi"/>
          <w:sz w:val="22"/>
          <w:szCs w:val="22"/>
        </w:rPr>
        <w:t>These concerns highlight the need for</w:t>
      </w:r>
      <w:r w:rsidR="004D044F">
        <w:rPr>
          <w:rFonts w:cstheme="minorHAnsi"/>
          <w:sz w:val="22"/>
          <w:szCs w:val="22"/>
        </w:rPr>
        <w:t xml:space="preserve"> improvements in</w:t>
      </w:r>
      <w:r>
        <w:rPr>
          <w:rFonts w:cstheme="minorHAnsi"/>
          <w:sz w:val="22"/>
          <w:szCs w:val="22"/>
        </w:rPr>
        <w:t xml:space="preserve"> the clarity</w:t>
      </w:r>
      <w:r w:rsidR="004D044F">
        <w:rPr>
          <w:rFonts w:cstheme="minorHAnsi"/>
          <w:sz w:val="22"/>
          <w:szCs w:val="22"/>
        </w:rPr>
        <w:t xml:space="preserve"> and</w:t>
      </w:r>
      <w:r>
        <w:rPr>
          <w:rFonts w:cstheme="minorHAnsi"/>
          <w:sz w:val="22"/>
          <w:szCs w:val="22"/>
        </w:rPr>
        <w:t xml:space="preserve"> consistency </w:t>
      </w:r>
      <w:r w:rsidR="004D044F">
        <w:rPr>
          <w:rFonts w:cstheme="minorHAnsi"/>
          <w:sz w:val="22"/>
          <w:szCs w:val="22"/>
        </w:rPr>
        <w:t>of</w:t>
      </w:r>
      <w:r>
        <w:rPr>
          <w:rFonts w:cstheme="minorHAnsi"/>
          <w:sz w:val="22"/>
          <w:szCs w:val="22"/>
        </w:rPr>
        <w:t xml:space="preserve"> </w:t>
      </w:r>
      <w:r w:rsidR="001119EF" w:rsidRPr="001119EF">
        <w:rPr>
          <w:rFonts w:cstheme="minorHAnsi"/>
          <w:sz w:val="22"/>
          <w:szCs w:val="22"/>
        </w:rPr>
        <w:t>WHS and maritime law</w:t>
      </w:r>
      <w:r>
        <w:rPr>
          <w:rFonts w:cstheme="minorHAnsi"/>
          <w:sz w:val="22"/>
          <w:szCs w:val="22"/>
        </w:rPr>
        <w:t xml:space="preserve"> requirement</w:t>
      </w:r>
      <w:r w:rsidR="001119EF" w:rsidRPr="001119EF">
        <w:rPr>
          <w:rFonts w:cstheme="minorHAnsi"/>
          <w:sz w:val="22"/>
          <w:szCs w:val="22"/>
        </w:rPr>
        <w:t xml:space="preserve">s, particularly in situations involving </w:t>
      </w:r>
      <w:r w:rsidR="004D044F">
        <w:rPr>
          <w:rFonts w:cstheme="minorHAnsi"/>
          <w:sz w:val="22"/>
          <w:szCs w:val="22"/>
        </w:rPr>
        <w:t>foreign</w:t>
      </w:r>
      <w:r w:rsidR="001119EF" w:rsidRPr="001119EF">
        <w:rPr>
          <w:rFonts w:cstheme="minorHAnsi"/>
          <w:sz w:val="22"/>
          <w:szCs w:val="22"/>
        </w:rPr>
        <w:t xml:space="preserve"> vessels</w:t>
      </w:r>
      <w:r w:rsidR="004D044F">
        <w:rPr>
          <w:rFonts w:cstheme="minorHAnsi"/>
          <w:sz w:val="22"/>
          <w:szCs w:val="22"/>
        </w:rPr>
        <w:t xml:space="preserve">, and </w:t>
      </w:r>
      <w:r w:rsidR="001119EF" w:rsidRPr="001119EF">
        <w:rPr>
          <w:rFonts w:cstheme="minorHAnsi"/>
          <w:sz w:val="22"/>
          <w:szCs w:val="22"/>
        </w:rPr>
        <w:t>national guidance</w:t>
      </w:r>
      <w:r w:rsidR="004D044F">
        <w:rPr>
          <w:rFonts w:cstheme="minorHAnsi"/>
          <w:sz w:val="22"/>
          <w:szCs w:val="22"/>
        </w:rPr>
        <w:t xml:space="preserve"> to support better WHS outcomes.</w:t>
      </w:r>
    </w:p>
    <w:p w14:paraId="2E229331" w14:textId="6ED5C626" w:rsidR="00C1540E" w:rsidRPr="00FF0F89" w:rsidRDefault="00C1540E" w:rsidP="00C1540E">
      <w:pPr>
        <w:spacing w:after="40"/>
        <w:rPr>
          <w:rFonts w:cstheme="minorHAnsi"/>
          <w:i/>
          <w:iCs/>
          <w:sz w:val="22"/>
          <w:szCs w:val="22"/>
        </w:rPr>
      </w:pPr>
      <w:r w:rsidRPr="00FF0F89">
        <w:rPr>
          <w:rFonts w:cstheme="minorHAnsi"/>
          <w:i/>
          <w:iCs/>
          <w:sz w:val="22"/>
          <w:szCs w:val="22"/>
        </w:rPr>
        <w:t>Mari</w:t>
      </w:r>
      <w:r w:rsidR="00E81FCB">
        <w:rPr>
          <w:rFonts w:cstheme="minorHAnsi"/>
          <w:i/>
          <w:iCs/>
          <w:sz w:val="22"/>
          <w:szCs w:val="22"/>
        </w:rPr>
        <w:t>time</w:t>
      </w:r>
      <w:r w:rsidRPr="00FF0F89">
        <w:rPr>
          <w:rFonts w:cstheme="minorHAnsi"/>
          <w:i/>
          <w:iCs/>
          <w:sz w:val="22"/>
          <w:szCs w:val="22"/>
        </w:rPr>
        <w:t xml:space="preserve"> hazards</w:t>
      </w:r>
      <w:r w:rsidR="000E23F6">
        <w:rPr>
          <w:rFonts w:cstheme="minorHAnsi"/>
          <w:i/>
          <w:iCs/>
          <w:sz w:val="22"/>
          <w:szCs w:val="22"/>
        </w:rPr>
        <w:t xml:space="preserve"> </w:t>
      </w:r>
    </w:p>
    <w:p w14:paraId="7F7590D8" w14:textId="4674E5DF" w:rsidR="00C1540E" w:rsidRPr="002951F8" w:rsidRDefault="00C1540E" w:rsidP="00C1540E">
      <w:pPr>
        <w:rPr>
          <w:rFonts w:cstheme="minorHAnsi"/>
          <w:sz w:val="22"/>
          <w:szCs w:val="22"/>
        </w:rPr>
      </w:pPr>
      <w:r w:rsidRPr="002951F8">
        <w:rPr>
          <w:rFonts w:cstheme="minorHAnsi"/>
          <w:sz w:val="22"/>
          <w:szCs w:val="22"/>
        </w:rPr>
        <w:t>Stakeholders have raised concerns that the current HRW licensing framework does not adequately address the specific hazards associated with crane operations conducted on vessels. Unlike land-based crane operations, cranes mounted on ships or floating platforms are subject to dynamic environmental conditions that significantly alter the risk profile. The movement of a vessel—caused by wave action, wind forces, and changes in ballast—can unpredictably affect the stability of a suspended load. This instability increases the likelihood of load swing, unintended movement, and difficulty in precise load placement, all of which elevate the risk of incidents.</w:t>
      </w:r>
    </w:p>
    <w:p w14:paraId="6BF7DAD9" w14:textId="7C5C71A0" w:rsidR="00B95D2E" w:rsidRDefault="00C1540E" w:rsidP="007F2B20">
      <w:pPr>
        <w:rPr>
          <w:rFonts w:cstheme="minorHAnsi"/>
          <w:sz w:val="22"/>
          <w:szCs w:val="22"/>
        </w:rPr>
      </w:pPr>
      <w:r w:rsidRPr="002951F8">
        <w:rPr>
          <w:rFonts w:cstheme="minorHAnsi"/>
          <w:sz w:val="22"/>
          <w:szCs w:val="22"/>
        </w:rPr>
        <w:t xml:space="preserve">Additionally, the presence of moving or shifting load landing areas, such as decks or platforms that are themselves subject to vessel motion, further complicates safe crane operation. These conditions require operators to make continuous adjustments and exercise a high level of situational awareness and control. </w:t>
      </w:r>
      <w:r w:rsidR="002F2ADB" w:rsidRPr="002F2ADB">
        <w:rPr>
          <w:rFonts w:cstheme="minorHAnsi"/>
          <w:sz w:val="22"/>
          <w:szCs w:val="22"/>
        </w:rPr>
        <w:t>Stakeholders also noted that general crane operations and routine cargo lifts can become significantly more complex in maritime environments, where dynamic movement and variable load</w:t>
      </w:r>
      <w:r w:rsidR="002F2ADB" w:rsidRPr="002F2ADB">
        <w:rPr>
          <w:rFonts w:cstheme="minorHAnsi"/>
          <w:sz w:val="22"/>
          <w:szCs w:val="22"/>
        </w:rPr>
        <w:noBreakHyphen/>
        <w:t>handling conditions require a higher level of coordination, communication, and operational precision than comparable land</w:t>
      </w:r>
      <w:r w:rsidR="002F2ADB" w:rsidRPr="002F2ADB">
        <w:rPr>
          <w:rFonts w:cstheme="minorHAnsi"/>
          <w:sz w:val="22"/>
          <w:szCs w:val="22"/>
        </w:rPr>
        <w:noBreakHyphen/>
        <w:t>based lifts.</w:t>
      </w:r>
    </w:p>
    <w:p w14:paraId="1B07802A" w14:textId="243CB553" w:rsidR="007F2B20" w:rsidRDefault="007F2B20" w:rsidP="00C1540E">
      <w:pPr>
        <w:rPr>
          <w:rFonts w:cstheme="minorHAnsi"/>
          <w:sz w:val="22"/>
          <w:szCs w:val="22"/>
        </w:rPr>
      </w:pPr>
      <w:r w:rsidRPr="007F2B20">
        <w:rPr>
          <w:rFonts w:cstheme="minorHAnsi"/>
          <w:sz w:val="22"/>
          <w:szCs w:val="22"/>
        </w:rPr>
        <w:t>Stakeholders also noted that when a crane is secured to a barge or other vessel, the stability of the crane itself becomes a critical factor. Shifting of the crane or failure of the securing mechanism can create a sudden and severe instability event with potentially catastrophic outcomes. Instability may also place load</w:t>
      </w:r>
      <w:r w:rsidRPr="007F2B20">
        <w:rPr>
          <w:rFonts w:cstheme="minorHAnsi"/>
          <w:sz w:val="22"/>
          <w:szCs w:val="22"/>
        </w:rPr>
        <w:noBreakHyphen/>
        <w:t>handling equipment outside its safe working radius, increasing the risk of structural failure or mechanical overload.</w:t>
      </w:r>
    </w:p>
    <w:p w14:paraId="5C42AAB3" w14:textId="67DD13E2" w:rsidR="00C1540E" w:rsidRPr="002951F8" w:rsidRDefault="00C1540E" w:rsidP="00C1540E">
      <w:pPr>
        <w:rPr>
          <w:rFonts w:cstheme="minorHAnsi"/>
          <w:sz w:val="22"/>
          <w:szCs w:val="22"/>
        </w:rPr>
      </w:pPr>
      <w:r w:rsidRPr="002951F8">
        <w:rPr>
          <w:rFonts w:cstheme="minorHAnsi"/>
          <w:sz w:val="22"/>
          <w:szCs w:val="22"/>
        </w:rPr>
        <w:lastRenderedPageBreak/>
        <w:t xml:space="preserve">Stakeholders have expressed concern that operators trained exclusively in land-based environments may not possess the necessary competencies to manage these dynamic variables. As a result, there is a view that the existing HRW licensing framework may not sufficiently prepare or assess crane operators for the </w:t>
      </w:r>
      <w:r w:rsidR="00EE03F7">
        <w:rPr>
          <w:rFonts w:cstheme="minorHAnsi"/>
          <w:sz w:val="22"/>
          <w:szCs w:val="22"/>
        </w:rPr>
        <w:t>specific</w:t>
      </w:r>
      <w:r w:rsidR="00177EF7">
        <w:rPr>
          <w:rFonts w:cstheme="minorHAnsi"/>
          <w:sz w:val="22"/>
          <w:szCs w:val="22"/>
        </w:rPr>
        <w:t xml:space="preserve"> hazards present in </w:t>
      </w:r>
      <w:r w:rsidRPr="002951F8">
        <w:rPr>
          <w:rFonts w:cstheme="minorHAnsi"/>
          <w:sz w:val="22"/>
          <w:szCs w:val="22"/>
        </w:rPr>
        <w:t>maritime crane operation</w:t>
      </w:r>
      <w:r w:rsidR="009E0F77">
        <w:rPr>
          <w:rFonts w:cstheme="minorHAnsi"/>
          <w:sz w:val="22"/>
          <w:szCs w:val="22"/>
        </w:rPr>
        <w:t xml:space="preserve">s. </w:t>
      </w:r>
      <w:r w:rsidR="00590AB7">
        <w:rPr>
          <w:rFonts w:cstheme="minorHAnsi"/>
          <w:sz w:val="22"/>
          <w:szCs w:val="22"/>
        </w:rPr>
        <w:t>This</w:t>
      </w:r>
      <w:r w:rsidR="00A01917">
        <w:rPr>
          <w:rFonts w:cstheme="minorHAnsi"/>
          <w:sz w:val="22"/>
          <w:szCs w:val="22"/>
        </w:rPr>
        <w:t xml:space="preserve"> concern</w:t>
      </w:r>
      <w:r w:rsidR="00E76B7A">
        <w:rPr>
          <w:rFonts w:cstheme="minorHAnsi"/>
          <w:sz w:val="22"/>
          <w:szCs w:val="22"/>
        </w:rPr>
        <w:t xml:space="preserve"> relates to the competency demands created by maritime operating environment</w:t>
      </w:r>
      <w:r w:rsidR="00710BF6">
        <w:rPr>
          <w:rFonts w:cstheme="minorHAnsi"/>
          <w:sz w:val="22"/>
          <w:szCs w:val="22"/>
        </w:rPr>
        <w:t>s</w:t>
      </w:r>
      <w:r w:rsidR="00447341">
        <w:rPr>
          <w:rFonts w:cstheme="minorHAnsi"/>
          <w:sz w:val="22"/>
          <w:szCs w:val="22"/>
        </w:rPr>
        <w:t xml:space="preserve"> rather than the absence of any </w:t>
      </w:r>
      <w:proofErr w:type="gramStart"/>
      <w:r w:rsidR="00447341">
        <w:rPr>
          <w:rFonts w:cstheme="minorHAnsi"/>
          <w:sz w:val="22"/>
          <w:szCs w:val="22"/>
        </w:rPr>
        <w:t>particular regulatory</w:t>
      </w:r>
      <w:proofErr w:type="gramEnd"/>
      <w:r w:rsidR="00447341">
        <w:rPr>
          <w:rFonts w:cstheme="minorHAnsi"/>
          <w:sz w:val="22"/>
          <w:szCs w:val="22"/>
        </w:rPr>
        <w:t xml:space="preserve"> solution or licensing category</w:t>
      </w:r>
      <w:r w:rsidR="00500C19">
        <w:rPr>
          <w:rFonts w:cstheme="minorHAnsi"/>
          <w:sz w:val="22"/>
          <w:szCs w:val="22"/>
        </w:rPr>
        <w:t>.</w:t>
      </w:r>
    </w:p>
    <w:p w14:paraId="049B752A" w14:textId="39442515" w:rsidR="00C1540E" w:rsidRPr="007D6E6D" w:rsidRDefault="00C1540E" w:rsidP="00C1540E">
      <w:pPr>
        <w:spacing w:after="40"/>
        <w:rPr>
          <w:rFonts w:cstheme="minorHAnsi"/>
          <w:i/>
          <w:iCs/>
          <w:sz w:val="22"/>
          <w:szCs w:val="22"/>
        </w:rPr>
      </w:pPr>
      <w:r w:rsidRPr="007D6E6D">
        <w:rPr>
          <w:rFonts w:cstheme="minorHAnsi"/>
          <w:i/>
          <w:iCs/>
          <w:sz w:val="22"/>
          <w:szCs w:val="22"/>
        </w:rPr>
        <w:t xml:space="preserve">Training </w:t>
      </w:r>
      <w:r w:rsidR="008442CB">
        <w:rPr>
          <w:rFonts w:cstheme="minorHAnsi"/>
          <w:i/>
          <w:iCs/>
          <w:sz w:val="22"/>
          <w:szCs w:val="22"/>
        </w:rPr>
        <w:t>and competency gaps</w:t>
      </w:r>
    </w:p>
    <w:p w14:paraId="5AEA8175" w14:textId="77777777" w:rsidR="00C1540E" w:rsidRDefault="00C1540E" w:rsidP="00C1540E">
      <w:pPr>
        <w:rPr>
          <w:sz w:val="22"/>
          <w:szCs w:val="22"/>
        </w:rPr>
      </w:pPr>
      <w:r w:rsidRPr="00EB5C5B">
        <w:rPr>
          <w:sz w:val="22"/>
          <w:szCs w:val="22"/>
        </w:rPr>
        <w:t xml:space="preserve">Training for crane operators in the maritime industry is a critical component of workplace safety and operational </w:t>
      </w:r>
      <w:proofErr w:type="gramStart"/>
      <w:r w:rsidRPr="00EB5C5B">
        <w:rPr>
          <w:sz w:val="22"/>
          <w:szCs w:val="22"/>
        </w:rPr>
        <w:t>integrity,</w:t>
      </w:r>
      <w:proofErr w:type="gramEnd"/>
      <w:r w:rsidRPr="00EB5C5B">
        <w:rPr>
          <w:sz w:val="22"/>
          <w:szCs w:val="22"/>
        </w:rPr>
        <w:t xml:space="preserve"> </w:t>
      </w:r>
      <w:r>
        <w:rPr>
          <w:sz w:val="22"/>
          <w:szCs w:val="22"/>
        </w:rPr>
        <w:t xml:space="preserve">however stakeholders have indicated that </w:t>
      </w:r>
      <w:r w:rsidRPr="00E63C92">
        <w:rPr>
          <w:rFonts w:cstheme="minorHAnsi"/>
          <w:sz w:val="22"/>
          <w:szCs w:val="22"/>
        </w:rPr>
        <w:t>current training practices vary significantly across jurisdictions and providers. These inconsistencies may impact the competency of crane operators and increase the risk of incidents in high-pressure port environments.</w:t>
      </w:r>
    </w:p>
    <w:p w14:paraId="19AA6763" w14:textId="030DAF5F" w:rsidR="00366EBA" w:rsidRDefault="00C1540E" w:rsidP="00C1540E">
      <w:pPr>
        <w:rPr>
          <w:sz w:val="22"/>
          <w:szCs w:val="22"/>
        </w:rPr>
      </w:pPr>
      <w:r w:rsidRPr="00EB5C5B">
        <w:rPr>
          <w:sz w:val="22"/>
          <w:szCs w:val="22"/>
        </w:rPr>
        <w:t xml:space="preserve">Access to </w:t>
      </w:r>
      <w:r w:rsidR="00D01B6C">
        <w:rPr>
          <w:sz w:val="22"/>
          <w:szCs w:val="22"/>
        </w:rPr>
        <w:t>suitable and context-specific</w:t>
      </w:r>
      <w:r w:rsidRPr="00EB5C5B">
        <w:rPr>
          <w:sz w:val="22"/>
          <w:szCs w:val="22"/>
        </w:rPr>
        <w:t xml:space="preserve"> training environments is often limited, </w:t>
      </w:r>
      <w:r>
        <w:rPr>
          <w:sz w:val="22"/>
          <w:szCs w:val="22"/>
        </w:rPr>
        <w:t>which may leave</w:t>
      </w:r>
      <w:r w:rsidRPr="00EB5C5B">
        <w:rPr>
          <w:sz w:val="22"/>
          <w:szCs w:val="22"/>
        </w:rPr>
        <w:t xml:space="preserve"> many operators without the practical experience needed to safely manage complex equipment. The absence of harmonised training standards across jurisdictions further exacerbates disparities in skill levels, while outdated curricula fail to reflect the technological advancements shaping modern crane operations. </w:t>
      </w:r>
    </w:p>
    <w:p w14:paraId="71753DFE" w14:textId="747CF613" w:rsidR="00C1540E" w:rsidRDefault="00CF6998" w:rsidP="00C1540E">
      <w:pPr>
        <w:rPr>
          <w:sz w:val="22"/>
          <w:szCs w:val="22"/>
        </w:rPr>
      </w:pPr>
      <w:r w:rsidRPr="00CF6998">
        <w:rPr>
          <w:sz w:val="22"/>
          <w:szCs w:val="22"/>
        </w:rPr>
        <w:t>Stakeholders also reported that communication challenges in some maritime workplaces may affect the ability of operators to safely coordinate complex lifting activities.</w:t>
      </w:r>
      <w:r w:rsidR="00366EBA" w:rsidRPr="00366EBA">
        <w:rPr>
          <w:rFonts w:ascii="Segoe UI" w:hAnsi="Segoe UI" w:cs="Segoe UI"/>
          <w:color w:val="424242"/>
          <w:shd w:val="clear" w:color="auto" w:fill="FAFAFA"/>
        </w:rPr>
        <w:t xml:space="preserve"> </w:t>
      </w:r>
      <w:r w:rsidR="00366EBA" w:rsidRPr="00617EDE">
        <w:rPr>
          <w:sz w:val="22"/>
          <w:szCs w:val="22"/>
        </w:rPr>
        <w:t xml:space="preserve">These risks can be </w:t>
      </w:r>
      <w:r w:rsidR="00973DDA" w:rsidRPr="00617EDE">
        <w:rPr>
          <w:sz w:val="22"/>
          <w:szCs w:val="22"/>
        </w:rPr>
        <w:t>further</w:t>
      </w:r>
      <w:r w:rsidR="00617EDE" w:rsidRPr="00617EDE">
        <w:rPr>
          <w:sz w:val="22"/>
          <w:szCs w:val="22"/>
        </w:rPr>
        <w:t xml:space="preserve"> </w:t>
      </w:r>
      <w:r w:rsidR="00366EBA" w:rsidRPr="00617EDE">
        <w:rPr>
          <w:sz w:val="22"/>
          <w:szCs w:val="22"/>
        </w:rPr>
        <w:t>compounded when Australian workers are required to operate or interact with cranes on foreign vessels, where equipment may differ significantly and operating instructions may not be available in English.</w:t>
      </w:r>
      <w:r w:rsidR="00485647">
        <w:rPr>
          <w:sz w:val="22"/>
          <w:szCs w:val="22"/>
        </w:rPr>
        <w:t xml:space="preserve"> </w:t>
      </w:r>
      <w:r w:rsidR="00485647" w:rsidRPr="00485647">
        <w:rPr>
          <w:sz w:val="22"/>
          <w:szCs w:val="22"/>
        </w:rPr>
        <w:t xml:space="preserve">Stakeholders also highlighted that </w:t>
      </w:r>
      <w:r w:rsidR="00485647" w:rsidRPr="003442B5">
        <w:rPr>
          <w:sz w:val="22"/>
          <w:szCs w:val="22"/>
        </w:rPr>
        <w:t>maintenance and inspection records for cranes on foreign vessels may not always be available</w:t>
      </w:r>
      <w:r w:rsidR="00485647" w:rsidRPr="00485647">
        <w:rPr>
          <w:sz w:val="22"/>
          <w:szCs w:val="22"/>
        </w:rPr>
        <w:t xml:space="preserve">, limiting the ability of operators and PCBUs to verify the safety status or servicing history of equipment prior to use. This lack of documentation </w:t>
      </w:r>
      <w:r w:rsidR="00007C9C">
        <w:rPr>
          <w:sz w:val="22"/>
          <w:szCs w:val="22"/>
        </w:rPr>
        <w:t>creates</w:t>
      </w:r>
      <w:r w:rsidR="00485647" w:rsidRPr="00485647">
        <w:rPr>
          <w:sz w:val="22"/>
          <w:szCs w:val="22"/>
        </w:rPr>
        <w:t xml:space="preserve"> uncertainty</w:t>
      </w:r>
      <w:r w:rsidR="00007C9C">
        <w:rPr>
          <w:sz w:val="22"/>
          <w:szCs w:val="22"/>
        </w:rPr>
        <w:t xml:space="preserve"> for operators</w:t>
      </w:r>
      <w:r w:rsidR="00485647" w:rsidRPr="00485647">
        <w:rPr>
          <w:sz w:val="22"/>
          <w:szCs w:val="22"/>
        </w:rPr>
        <w:t xml:space="preserve"> and elevate</w:t>
      </w:r>
      <w:r w:rsidR="00007C9C">
        <w:rPr>
          <w:sz w:val="22"/>
          <w:szCs w:val="22"/>
        </w:rPr>
        <w:t>s</w:t>
      </w:r>
      <w:r w:rsidR="00485647" w:rsidRPr="00485647">
        <w:rPr>
          <w:sz w:val="22"/>
          <w:szCs w:val="22"/>
        </w:rPr>
        <w:t xml:space="preserve"> the risk of equipment failure or unsafe operation.</w:t>
      </w:r>
    </w:p>
    <w:p w14:paraId="7982EC4F" w14:textId="77777777" w:rsidR="00D97A91" w:rsidRPr="00D97A91" w:rsidRDefault="00C1540E" w:rsidP="00D97A91">
      <w:pPr>
        <w:rPr>
          <w:sz w:val="22"/>
          <w:szCs w:val="22"/>
        </w:rPr>
      </w:pPr>
      <w:r>
        <w:rPr>
          <w:sz w:val="22"/>
          <w:szCs w:val="22"/>
        </w:rPr>
        <w:t>Stakeholders have also suggested</w:t>
      </w:r>
      <w:r w:rsidRPr="00EB5C5B">
        <w:rPr>
          <w:sz w:val="22"/>
          <w:szCs w:val="22"/>
        </w:rPr>
        <w:t xml:space="preserve"> that some training programs do not adequately address key risk factors associated with crane operation, including emergency response procedures, fatigue management, and the influence of environmental conditions such as wind and vessel movement. </w:t>
      </w:r>
      <w:r w:rsidR="00D97A91" w:rsidRPr="00D97A91">
        <w:rPr>
          <w:sz w:val="22"/>
          <w:szCs w:val="22"/>
        </w:rPr>
        <w:t>Stakeholders further noted that pre</w:t>
      </w:r>
      <w:r w:rsidR="00D97A91" w:rsidRPr="00D97A91">
        <w:rPr>
          <w:sz w:val="22"/>
          <w:szCs w:val="22"/>
        </w:rPr>
        <w:noBreakHyphen/>
        <w:t xml:space="preserve">start inspections of cranes and their components are a critical control in maritime contexts, and that training should ensure workers are competent in conducting these inspections. It was also suggested that WHS Regulations may need to explicitly provide for such inspections to ensure operators have the opportunity and authority to carry them out. </w:t>
      </w:r>
    </w:p>
    <w:p w14:paraId="4BB3674A" w14:textId="2EB07ED2" w:rsidR="00366EBA" w:rsidRDefault="00C1540E" w:rsidP="00C1540E">
      <w:pPr>
        <w:rPr>
          <w:sz w:val="22"/>
          <w:szCs w:val="22"/>
        </w:rPr>
      </w:pPr>
      <w:r w:rsidRPr="00EB5C5B">
        <w:rPr>
          <w:sz w:val="22"/>
          <w:szCs w:val="22"/>
        </w:rPr>
        <w:t xml:space="preserve">Economic and operational pressures may lead to shortened training durations or limited access to refresher training, which can affect the maintenance of competency over time. Resistance to adopting new training technologies and practices may </w:t>
      </w:r>
      <w:r>
        <w:rPr>
          <w:sz w:val="22"/>
          <w:szCs w:val="22"/>
        </w:rPr>
        <w:t xml:space="preserve">also </w:t>
      </w:r>
      <w:r w:rsidRPr="00EB5C5B">
        <w:rPr>
          <w:sz w:val="22"/>
          <w:szCs w:val="22"/>
        </w:rPr>
        <w:t xml:space="preserve">further limit the effectiveness of current approaches. </w:t>
      </w:r>
    </w:p>
    <w:p w14:paraId="39D826F8" w14:textId="2163ABDA" w:rsidR="00C1540E" w:rsidRPr="002951F8" w:rsidRDefault="00C1540E" w:rsidP="00C1540E">
      <w:pPr>
        <w:rPr>
          <w:rFonts w:cstheme="minorHAnsi"/>
          <w:sz w:val="22"/>
          <w:szCs w:val="22"/>
        </w:rPr>
      </w:pPr>
    </w:p>
    <w:p w14:paraId="7E6FF6C5" w14:textId="77777777" w:rsidR="00C1540E" w:rsidRPr="002E104E" w:rsidRDefault="00C1540E" w:rsidP="00A77E25">
      <w:pPr>
        <w:spacing w:after="200"/>
        <w:rPr>
          <w:rFonts w:cstheme="minorHAnsi"/>
          <w:sz w:val="22"/>
          <w:szCs w:val="22"/>
        </w:rPr>
      </w:pPr>
    </w:p>
    <w:p w14:paraId="7C5577E0" w14:textId="4A5EC879" w:rsidR="0009636A" w:rsidRDefault="000D6EFA" w:rsidP="00B63C7C">
      <w:pPr>
        <w:pStyle w:val="SWAHeading1"/>
      </w:pPr>
      <w:bookmarkStart w:id="48" w:name="_Toc221540318"/>
      <w:r>
        <w:lastRenderedPageBreak/>
        <w:t>Options for public feedback</w:t>
      </w:r>
      <w:bookmarkEnd w:id="48"/>
    </w:p>
    <w:p w14:paraId="75398309" w14:textId="77777777" w:rsidR="000D6EFA" w:rsidRDefault="000D6EFA" w:rsidP="000D6EFA">
      <w:pPr>
        <w:pStyle w:val="SWAHeading2"/>
      </w:pPr>
      <w:bookmarkStart w:id="49" w:name="_Toc201662851"/>
      <w:bookmarkStart w:id="50" w:name="_Toc221540319"/>
      <w:r>
        <w:t>Summary of proposed options</w:t>
      </w:r>
      <w:bookmarkEnd w:id="49"/>
      <w:bookmarkEnd w:id="50"/>
    </w:p>
    <w:p w14:paraId="27AF5E6C" w14:textId="173EB1C3" w:rsidR="000D6EFA" w:rsidRDefault="001B311E" w:rsidP="00290598">
      <w:pPr>
        <w:rPr>
          <w:rFonts w:eastAsia="Batang" w:cstheme="minorHAnsi"/>
          <w:sz w:val="22"/>
          <w:szCs w:val="22"/>
        </w:rPr>
      </w:pPr>
      <w:bookmarkStart w:id="51" w:name="_Toc203021405"/>
      <w:r w:rsidRPr="00206324">
        <w:rPr>
          <w:rFonts w:eastAsia="Batang" w:cstheme="minorHAnsi"/>
          <w:sz w:val="22"/>
          <w:szCs w:val="22"/>
        </w:rPr>
        <w:t xml:space="preserve">This section outlines </w:t>
      </w:r>
      <w:r w:rsidR="00F601AC">
        <w:rPr>
          <w:rFonts w:eastAsia="Batang" w:cstheme="minorHAnsi"/>
          <w:sz w:val="22"/>
          <w:szCs w:val="22"/>
        </w:rPr>
        <w:t>regulatory and non-regulatory</w:t>
      </w:r>
      <w:r w:rsidRPr="00206324">
        <w:rPr>
          <w:rFonts w:eastAsia="Batang" w:cstheme="minorHAnsi"/>
          <w:sz w:val="22"/>
          <w:szCs w:val="22"/>
        </w:rPr>
        <w:t xml:space="preserve"> options </w:t>
      </w:r>
      <w:r w:rsidR="00F601AC">
        <w:rPr>
          <w:rFonts w:eastAsia="Batang" w:cstheme="minorHAnsi"/>
          <w:sz w:val="22"/>
          <w:szCs w:val="22"/>
        </w:rPr>
        <w:t>aimed at</w:t>
      </w:r>
      <w:r w:rsidRPr="00206324">
        <w:rPr>
          <w:rFonts w:eastAsia="Batang" w:cstheme="minorHAnsi"/>
          <w:sz w:val="22"/>
          <w:szCs w:val="22"/>
        </w:rPr>
        <w:t xml:space="preserve"> </w:t>
      </w:r>
      <w:r w:rsidR="00F601AC">
        <w:rPr>
          <w:rFonts w:eastAsia="Batang" w:cstheme="minorHAnsi"/>
          <w:sz w:val="22"/>
          <w:szCs w:val="22"/>
        </w:rPr>
        <w:t>improving</w:t>
      </w:r>
      <w:r w:rsidRPr="00206324">
        <w:rPr>
          <w:rFonts w:eastAsia="Batang" w:cstheme="minorHAnsi"/>
          <w:sz w:val="22"/>
          <w:szCs w:val="22"/>
        </w:rPr>
        <w:t xml:space="preserve"> the safety of crane operations in port and maritime settings. These options are informed by feedback provided by stakeholders during earlier stages of the crane licence review</w:t>
      </w:r>
      <w:r w:rsidR="00352A7F">
        <w:rPr>
          <w:rFonts w:eastAsia="Batang" w:cstheme="minorHAnsi"/>
          <w:sz w:val="22"/>
          <w:szCs w:val="22"/>
        </w:rPr>
        <w:t>.</w:t>
      </w:r>
      <w:r w:rsidR="00290598" w:rsidRPr="00290598">
        <w:rPr>
          <w:rFonts w:eastAsia="Batang" w:cstheme="minorHAnsi"/>
          <w:sz w:val="22"/>
          <w:szCs w:val="22"/>
        </w:rPr>
        <w:t xml:space="preserve"> </w:t>
      </w:r>
    </w:p>
    <w:p w14:paraId="57C4FEFE" w14:textId="241E13E7" w:rsidR="00206673" w:rsidRDefault="00206673" w:rsidP="00290598">
      <w:pPr>
        <w:rPr>
          <w:rFonts w:eastAsia="Batang" w:cstheme="minorHAnsi"/>
          <w:sz w:val="22"/>
          <w:szCs w:val="22"/>
        </w:rPr>
      </w:pPr>
      <w:r w:rsidRPr="00290598">
        <w:rPr>
          <w:rFonts w:eastAsia="Batang" w:cstheme="minorHAnsi"/>
          <w:sz w:val="22"/>
          <w:szCs w:val="22"/>
        </w:rPr>
        <w:t>These options are presented for consideration and feedback, with the objective of identifying potential models that may support improved safety outcomes in the maritime crane sector. Stakeholders are invited to assess the viability and effectiveness of each option in contributing to safer operational practices.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887"/>
      </w:tblGrid>
      <w:tr w:rsidR="0008373B" w:rsidRPr="003F76E3" w14:paraId="7F95C555" w14:textId="77777777" w:rsidTr="00A8150C">
        <w:trPr>
          <w:trHeight w:val="163"/>
          <w:jc w:val="center"/>
        </w:trPr>
        <w:tc>
          <w:tcPr>
            <w:tcW w:w="1129" w:type="dxa"/>
            <w:shd w:val="clear" w:color="auto" w:fill="D5B8EA"/>
            <w:vAlign w:val="center"/>
          </w:tcPr>
          <w:bookmarkEnd w:id="51"/>
          <w:p w14:paraId="29783F3B" w14:textId="3221E83A" w:rsidR="0008373B" w:rsidRPr="00897D02" w:rsidRDefault="0008373B" w:rsidP="00F83E55">
            <w:pPr>
              <w:pStyle w:val="Paragraph0"/>
              <w:rPr>
                <w:b/>
                <w:bCs/>
                <w:sz w:val="22"/>
                <w:szCs w:val="22"/>
              </w:rPr>
            </w:pPr>
            <w:r w:rsidRPr="00897D02">
              <w:rPr>
                <w:b/>
                <w:bCs/>
                <w:sz w:val="22"/>
                <w:szCs w:val="22"/>
              </w:rPr>
              <w:t xml:space="preserve">Option number </w:t>
            </w:r>
          </w:p>
        </w:tc>
        <w:tc>
          <w:tcPr>
            <w:tcW w:w="7887" w:type="dxa"/>
            <w:shd w:val="clear" w:color="auto" w:fill="D5B8EA"/>
            <w:vAlign w:val="center"/>
          </w:tcPr>
          <w:p w14:paraId="051E89B6" w14:textId="77777777" w:rsidR="0008373B" w:rsidRPr="00897D02" w:rsidRDefault="0008373B" w:rsidP="00F83E55">
            <w:pPr>
              <w:pStyle w:val="Paragraph0"/>
              <w:rPr>
                <w:b/>
                <w:bCs/>
                <w:sz w:val="22"/>
                <w:szCs w:val="22"/>
              </w:rPr>
            </w:pPr>
            <w:r w:rsidRPr="00897D02">
              <w:rPr>
                <w:b/>
                <w:bCs/>
                <w:sz w:val="22"/>
                <w:szCs w:val="22"/>
              </w:rPr>
              <w:t>Description</w:t>
            </w:r>
          </w:p>
        </w:tc>
      </w:tr>
      <w:tr w:rsidR="001614EF" w:rsidRPr="003F76E3" w14:paraId="360D516C" w14:textId="77777777" w:rsidTr="00A8150C">
        <w:trPr>
          <w:jc w:val="center"/>
        </w:trPr>
        <w:tc>
          <w:tcPr>
            <w:tcW w:w="1129" w:type="dxa"/>
            <w:shd w:val="clear" w:color="auto" w:fill="EADBF5"/>
          </w:tcPr>
          <w:p w14:paraId="12005E52" w14:textId="37F9722E" w:rsidR="001614EF" w:rsidRPr="00CE3539" w:rsidRDefault="001614EF" w:rsidP="001614EF">
            <w:pPr>
              <w:pStyle w:val="Paragraph0"/>
              <w:jc w:val="center"/>
              <w:rPr>
                <w:b/>
                <w:bCs/>
                <w:sz w:val="22"/>
                <w:szCs w:val="22"/>
              </w:rPr>
            </w:pPr>
            <w:r w:rsidRPr="00CE3539">
              <w:rPr>
                <w:b/>
                <w:bCs/>
                <w:sz w:val="22"/>
                <w:szCs w:val="22"/>
              </w:rPr>
              <w:t>1</w:t>
            </w:r>
          </w:p>
        </w:tc>
        <w:tc>
          <w:tcPr>
            <w:tcW w:w="7887" w:type="dxa"/>
            <w:shd w:val="clear" w:color="auto" w:fill="EADBF5"/>
          </w:tcPr>
          <w:p w14:paraId="332F3B93" w14:textId="3708AF48" w:rsidR="001614EF" w:rsidRPr="000D35BA" w:rsidRDefault="00784DBB" w:rsidP="00FA1EB9">
            <w:pPr>
              <w:pStyle w:val="Paragraph0"/>
              <w:rPr>
                <w:sz w:val="22"/>
                <w:szCs w:val="22"/>
              </w:rPr>
            </w:pPr>
            <w:r w:rsidRPr="00CE3539">
              <w:rPr>
                <w:sz w:val="22"/>
                <w:szCs w:val="22"/>
              </w:rPr>
              <w:t xml:space="preserve">Retain existing </w:t>
            </w:r>
            <w:r w:rsidR="00D25967">
              <w:rPr>
                <w:sz w:val="22"/>
                <w:szCs w:val="22"/>
              </w:rPr>
              <w:t xml:space="preserve">HRW </w:t>
            </w:r>
            <w:r w:rsidR="00E24811">
              <w:rPr>
                <w:sz w:val="22"/>
                <w:szCs w:val="22"/>
              </w:rPr>
              <w:t xml:space="preserve">licensing </w:t>
            </w:r>
            <w:r w:rsidRPr="00B21926">
              <w:rPr>
                <w:sz w:val="22"/>
                <w:szCs w:val="22"/>
              </w:rPr>
              <w:t>arrangements with the d</w:t>
            </w:r>
            <w:r w:rsidRPr="000D35BA">
              <w:rPr>
                <w:sz w:val="22"/>
                <w:szCs w:val="22"/>
              </w:rPr>
              <w:t>evelopment of supporting national guidance (non-regulatory option)</w:t>
            </w:r>
            <w:r w:rsidR="00F177C5">
              <w:rPr>
                <w:sz w:val="22"/>
                <w:szCs w:val="22"/>
              </w:rPr>
              <w:t>.</w:t>
            </w:r>
          </w:p>
        </w:tc>
      </w:tr>
      <w:tr w:rsidR="0008373B" w:rsidRPr="003F76E3" w14:paraId="311CE6D2" w14:textId="77777777" w:rsidTr="00A8150C">
        <w:trPr>
          <w:trHeight w:val="631"/>
          <w:jc w:val="center"/>
        </w:trPr>
        <w:tc>
          <w:tcPr>
            <w:tcW w:w="1129" w:type="dxa"/>
            <w:shd w:val="clear" w:color="auto" w:fill="EADBF5"/>
          </w:tcPr>
          <w:p w14:paraId="2FC05341" w14:textId="3E0E7D2F" w:rsidR="0008373B" w:rsidRPr="000D35BA" w:rsidRDefault="0074310C" w:rsidP="00A8150C">
            <w:pPr>
              <w:pStyle w:val="Paragraph0"/>
              <w:spacing w:before="120" w:after="0"/>
              <w:jc w:val="center"/>
              <w:rPr>
                <w:b/>
                <w:bCs/>
                <w:sz w:val="22"/>
                <w:szCs w:val="22"/>
              </w:rPr>
            </w:pPr>
            <w:r w:rsidRPr="000D35BA">
              <w:rPr>
                <w:b/>
                <w:bCs/>
                <w:sz w:val="22"/>
                <w:szCs w:val="22"/>
              </w:rPr>
              <w:t>2</w:t>
            </w:r>
          </w:p>
        </w:tc>
        <w:tc>
          <w:tcPr>
            <w:tcW w:w="7887" w:type="dxa"/>
            <w:shd w:val="clear" w:color="auto" w:fill="EADBF5"/>
          </w:tcPr>
          <w:p w14:paraId="6FB0CF5D" w14:textId="6DBE8DA2" w:rsidR="00585AF9" w:rsidRDefault="004C39BB" w:rsidP="00E0350C">
            <w:pPr>
              <w:pStyle w:val="Paragraph0"/>
              <w:spacing w:before="120" w:after="0"/>
              <w:rPr>
                <w:rFonts w:eastAsiaTheme="minorHAnsi" w:cs="Arial"/>
                <w:color w:val="000000"/>
                <w:sz w:val="22"/>
                <w:szCs w:val="22"/>
                <w:lang w:eastAsia="en-US"/>
              </w:rPr>
            </w:pPr>
            <w:r>
              <w:rPr>
                <w:rFonts w:eastAsiaTheme="minorHAnsi" w:cs="Arial"/>
                <w:color w:val="000000"/>
                <w:sz w:val="22"/>
                <w:szCs w:val="22"/>
                <w:lang w:eastAsia="en-US"/>
              </w:rPr>
              <w:t>I</w:t>
            </w:r>
            <w:r w:rsidRPr="00EC63E2">
              <w:rPr>
                <w:rFonts w:eastAsiaTheme="minorHAnsi" w:cs="Arial"/>
                <w:color w:val="000000"/>
                <w:sz w:val="22"/>
                <w:szCs w:val="22"/>
                <w:lang w:eastAsia="en-US"/>
              </w:rPr>
              <w:t xml:space="preserve">ntroduce a </w:t>
            </w:r>
            <w:r w:rsidR="00866142">
              <w:rPr>
                <w:rFonts w:eastAsiaTheme="minorHAnsi" w:cs="Arial"/>
                <w:color w:val="000000"/>
                <w:sz w:val="22"/>
                <w:szCs w:val="22"/>
                <w:lang w:eastAsia="en-US"/>
              </w:rPr>
              <w:t>mandatory</w:t>
            </w:r>
            <w:r w:rsidRPr="00EC63E2">
              <w:rPr>
                <w:rFonts w:eastAsiaTheme="minorHAnsi" w:cs="Arial"/>
                <w:color w:val="000000"/>
                <w:sz w:val="22"/>
                <w:szCs w:val="22"/>
                <w:lang w:eastAsia="en-US"/>
              </w:rPr>
              <w:t xml:space="preserve"> training </w:t>
            </w:r>
            <w:r w:rsidR="003C484C">
              <w:rPr>
                <w:rFonts w:eastAsiaTheme="minorHAnsi" w:cs="Arial"/>
                <w:color w:val="000000"/>
                <w:sz w:val="22"/>
                <w:szCs w:val="22"/>
                <w:lang w:eastAsia="en-US"/>
              </w:rPr>
              <w:t>requirement</w:t>
            </w:r>
            <w:r w:rsidR="003C484C" w:rsidRPr="00EC63E2">
              <w:rPr>
                <w:rFonts w:eastAsiaTheme="minorHAnsi" w:cs="Arial"/>
                <w:color w:val="000000"/>
                <w:sz w:val="22"/>
                <w:szCs w:val="22"/>
                <w:lang w:eastAsia="en-US"/>
              </w:rPr>
              <w:t xml:space="preserve"> </w:t>
            </w:r>
            <w:r w:rsidRPr="00EC63E2">
              <w:rPr>
                <w:rFonts w:eastAsiaTheme="minorHAnsi" w:cs="Arial"/>
                <w:color w:val="000000"/>
                <w:sz w:val="22"/>
                <w:szCs w:val="22"/>
                <w:lang w:eastAsia="en-US"/>
              </w:rPr>
              <w:t xml:space="preserve">for crane </w:t>
            </w:r>
            <w:r w:rsidR="003C484C">
              <w:rPr>
                <w:rFonts w:eastAsiaTheme="minorHAnsi" w:cs="Arial"/>
                <w:color w:val="000000"/>
                <w:sz w:val="22"/>
                <w:szCs w:val="22"/>
                <w:lang w:eastAsia="en-US"/>
              </w:rPr>
              <w:t>operations on or over water</w:t>
            </w:r>
            <w:r>
              <w:rPr>
                <w:rFonts w:eastAsiaTheme="minorHAnsi" w:cs="Arial"/>
                <w:color w:val="000000"/>
                <w:sz w:val="22"/>
                <w:szCs w:val="22"/>
                <w:lang w:eastAsia="en-US"/>
              </w:rPr>
              <w:t>.</w:t>
            </w:r>
          </w:p>
          <w:p w14:paraId="0046A462" w14:textId="123CA81D" w:rsidR="00FF411C" w:rsidRPr="000D35BA" w:rsidRDefault="00FF411C" w:rsidP="00E0350C">
            <w:pPr>
              <w:pStyle w:val="Paragraph0"/>
              <w:spacing w:before="120" w:after="0"/>
              <w:rPr>
                <w:sz w:val="22"/>
                <w:szCs w:val="22"/>
              </w:rPr>
            </w:pPr>
          </w:p>
        </w:tc>
      </w:tr>
      <w:tr w:rsidR="00F83724" w14:paraId="15B93A27" w14:textId="77777777" w:rsidTr="00A8150C">
        <w:trPr>
          <w:jc w:val="center"/>
        </w:trPr>
        <w:tc>
          <w:tcPr>
            <w:tcW w:w="1129" w:type="dxa"/>
            <w:shd w:val="clear" w:color="auto" w:fill="EADBF5"/>
          </w:tcPr>
          <w:p w14:paraId="77190E4F" w14:textId="002DA346" w:rsidR="00F83724" w:rsidRPr="00EC63E2" w:rsidRDefault="00127A9F" w:rsidP="00FA1EB9">
            <w:pPr>
              <w:pStyle w:val="Paragraph0"/>
              <w:jc w:val="center"/>
              <w:rPr>
                <w:b/>
                <w:bCs/>
                <w:sz w:val="22"/>
                <w:szCs w:val="22"/>
              </w:rPr>
            </w:pPr>
            <w:r>
              <w:rPr>
                <w:b/>
                <w:bCs/>
                <w:sz w:val="22"/>
                <w:szCs w:val="22"/>
              </w:rPr>
              <w:t>3</w:t>
            </w:r>
          </w:p>
        </w:tc>
        <w:tc>
          <w:tcPr>
            <w:tcW w:w="7887" w:type="dxa"/>
            <w:shd w:val="clear" w:color="auto" w:fill="EADBF5"/>
          </w:tcPr>
          <w:p w14:paraId="1746E483" w14:textId="21CBAF4E" w:rsidR="00B030BE" w:rsidRPr="00CD24FF" w:rsidRDefault="004C39BB" w:rsidP="00FA1EB9">
            <w:pPr>
              <w:pStyle w:val="Paragraph0"/>
              <w:rPr>
                <w:rFonts w:eastAsiaTheme="minorHAnsi" w:cs="Arial"/>
                <w:color w:val="000000"/>
                <w:sz w:val="22"/>
                <w:szCs w:val="22"/>
                <w:lang w:eastAsia="en-US"/>
              </w:rPr>
            </w:pPr>
            <w:r>
              <w:rPr>
                <w:rFonts w:eastAsiaTheme="minorHAnsi" w:cs="Arial"/>
                <w:color w:val="000000"/>
                <w:sz w:val="22"/>
                <w:szCs w:val="22"/>
                <w:lang w:eastAsia="en-US"/>
              </w:rPr>
              <w:t>Introduce a new HRW licence class for maritime crane operations.</w:t>
            </w:r>
          </w:p>
        </w:tc>
      </w:tr>
      <w:tr w:rsidR="00CD24FF" w14:paraId="024DE86C" w14:textId="77777777" w:rsidTr="00A8150C">
        <w:trPr>
          <w:jc w:val="center"/>
        </w:trPr>
        <w:tc>
          <w:tcPr>
            <w:tcW w:w="1129" w:type="dxa"/>
            <w:shd w:val="clear" w:color="auto" w:fill="EADBF5"/>
          </w:tcPr>
          <w:p w14:paraId="1D32A7BE" w14:textId="2574F5AF" w:rsidR="00CD24FF" w:rsidRDefault="00CD24FF" w:rsidP="00FA1EB9">
            <w:pPr>
              <w:pStyle w:val="Paragraph0"/>
              <w:jc w:val="center"/>
              <w:rPr>
                <w:b/>
                <w:bCs/>
                <w:sz w:val="22"/>
                <w:szCs w:val="22"/>
              </w:rPr>
            </w:pPr>
            <w:r>
              <w:rPr>
                <w:b/>
                <w:bCs/>
                <w:sz w:val="22"/>
                <w:szCs w:val="22"/>
              </w:rPr>
              <w:t>4</w:t>
            </w:r>
          </w:p>
        </w:tc>
        <w:tc>
          <w:tcPr>
            <w:tcW w:w="7887" w:type="dxa"/>
            <w:shd w:val="clear" w:color="auto" w:fill="EADBF5"/>
          </w:tcPr>
          <w:p w14:paraId="3B59E25D" w14:textId="549CEDEF" w:rsidR="00CD24FF" w:rsidRDefault="00D10143" w:rsidP="00FA1EB9">
            <w:pPr>
              <w:pStyle w:val="Paragraph0"/>
              <w:rPr>
                <w:rFonts w:eastAsiaTheme="minorHAnsi" w:cs="Arial"/>
                <w:color w:val="000000"/>
                <w:sz w:val="22"/>
                <w:szCs w:val="22"/>
                <w:lang w:eastAsia="en-US"/>
              </w:rPr>
            </w:pPr>
            <w:r>
              <w:rPr>
                <w:rFonts w:eastAsiaTheme="minorHAnsi" w:cs="Arial"/>
                <w:color w:val="000000"/>
                <w:sz w:val="22"/>
                <w:szCs w:val="22"/>
                <w:lang w:eastAsia="en-US"/>
              </w:rPr>
              <w:t>Additional competency requirements for offshore and subsea lifting</w:t>
            </w:r>
            <w:r w:rsidR="00896341">
              <w:rPr>
                <w:rFonts w:eastAsiaTheme="minorHAnsi" w:cs="Arial"/>
                <w:color w:val="000000"/>
                <w:sz w:val="22"/>
                <w:szCs w:val="22"/>
                <w:lang w:eastAsia="en-US"/>
              </w:rPr>
              <w:t>.</w:t>
            </w:r>
          </w:p>
        </w:tc>
      </w:tr>
    </w:tbl>
    <w:p w14:paraId="23249D17" w14:textId="56D04335" w:rsidR="009E456D" w:rsidRPr="000D35BA" w:rsidRDefault="00784DBB" w:rsidP="00394F40">
      <w:pPr>
        <w:pStyle w:val="Heading2"/>
        <w:spacing w:before="240" w:after="60"/>
        <w:rPr>
          <w:rFonts w:asciiTheme="minorHAnsi" w:eastAsiaTheme="minorHAnsi" w:hAnsiTheme="minorHAnsi" w:cstheme="minorHAnsi"/>
          <w:b/>
          <w:i/>
          <w:iCs/>
          <w:color w:val="6E2F9D"/>
        </w:rPr>
      </w:pPr>
      <w:bookmarkStart w:id="52" w:name="_Toc221540320"/>
      <w:r w:rsidRPr="00394F40">
        <w:rPr>
          <w:rFonts w:asciiTheme="minorHAnsi" w:eastAsiaTheme="minorHAnsi" w:hAnsiTheme="minorHAnsi" w:cstheme="minorHAnsi"/>
          <w:b/>
          <w:i/>
          <w:iCs/>
          <w:color w:val="6E2F9D"/>
        </w:rPr>
        <w:t xml:space="preserve">Option </w:t>
      </w:r>
      <w:r>
        <w:rPr>
          <w:rFonts w:asciiTheme="minorHAnsi" w:eastAsiaTheme="minorHAnsi" w:hAnsiTheme="minorHAnsi" w:cstheme="minorHAnsi"/>
          <w:b/>
          <w:i/>
          <w:iCs/>
          <w:color w:val="6E2F9D"/>
        </w:rPr>
        <w:t>1</w:t>
      </w:r>
      <w:r w:rsidRPr="00394F40">
        <w:rPr>
          <w:rFonts w:asciiTheme="minorHAnsi" w:eastAsiaTheme="minorHAnsi" w:hAnsiTheme="minorHAnsi" w:cstheme="minorHAnsi"/>
          <w:b/>
          <w:i/>
          <w:iCs/>
          <w:color w:val="6E2F9D"/>
        </w:rPr>
        <w:t xml:space="preserve"> </w:t>
      </w:r>
      <w:r w:rsidRPr="00970940">
        <w:rPr>
          <w:b/>
          <w:bCs/>
          <w:i/>
          <w:iCs/>
          <w:color w:val="490C61" w:themeColor="accent4"/>
        </w:rPr>
        <w:t xml:space="preserve">– </w:t>
      </w:r>
      <w:r>
        <w:rPr>
          <w:rFonts w:asciiTheme="minorHAnsi" w:eastAsiaTheme="minorHAnsi" w:hAnsiTheme="minorHAnsi" w:cstheme="minorHAnsi"/>
          <w:b/>
          <w:i/>
          <w:iCs/>
          <w:color w:val="6E2F9D"/>
        </w:rPr>
        <w:t>Retain existing arrangements with the development of supporting national guidance (non-regulatory option)</w:t>
      </w:r>
      <w:r w:rsidRPr="00394F40">
        <w:rPr>
          <w:rFonts w:asciiTheme="minorHAnsi" w:eastAsiaTheme="minorHAnsi" w:hAnsiTheme="minorHAnsi" w:cstheme="minorHAnsi"/>
          <w:b/>
          <w:i/>
          <w:iCs/>
          <w:color w:val="6E2F9D"/>
        </w:rPr>
        <w:t>.</w:t>
      </w:r>
      <w:bookmarkEnd w:id="52"/>
    </w:p>
    <w:p w14:paraId="08704057" w14:textId="77777777" w:rsidR="004A6E19" w:rsidRDefault="004A6E19" w:rsidP="004A6E19">
      <w:pPr>
        <w:pStyle w:val="Paragraph0"/>
        <w:spacing w:before="120" w:after="120"/>
        <w:rPr>
          <w:sz w:val="22"/>
          <w:szCs w:val="22"/>
        </w:rPr>
      </w:pPr>
      <w:r w:rsidRPr="004A6E19">
        <w:rPr>
          <w:sz w:val="22"/>
          <w:szCs w:val="22"/>
        </w:rPr>
        <w:t>Option 1 involves retaining existing jurisdictional arrangements while developing supporting national guidance; these two elements are assessed together as part of the overall non</w:t>
      </w:r>
      <w:r w:rsidRPr="004A6E19">
        <w:rPr>
          <w:sz w:val="22"/>
          <w:szCs w:val="22"/>
        </w:rPr>
        <w:noBreakHyphen/>
        <w:t>regulatory option.</w:t>
      </w:r>
    </w:p>
    <w:p w14:paraId="20C81BAC" w14:textId="74AF78F6" w:rsidR="001614EF" w:rsidRPr="00F17B31" w:rsidRDefault="00784DBB" w:rsidP="00AF7548">
      <w:pPr>
        <w:pStyle w:val="Paragraph0"/>
        <w:spacing w:before="120" w:after="120"/>
        <w:rPr>
          <w:b/>
          <w:bCs/>
          <w:i/>
          <w:iCs/>
          <w:sz w:val="22"/>
          <w:szCs w:val="22"/>
          <w:lang w:eastAsia="en-US"/>
        </w:rPr>
      </w:pPr>
      <w:r w:rsidRPr="00F17B31">
        <w:rPr>
          <w:b/>
          <w:bCs/>
          <w:i/>
          <w:iCs/>
          <w:sz w:val="22"/>
          <w:szCs w:val="22"/>
          <w:lang w:eastAsia="en-US"/>
        </w:rPr>
        <w:t xml:space="preserve">Retaining existing jurisdictional arrangements </w:t>
      </w:r>
    </w:p>
    <w:p w14:paraId="74B7BA12" w14:textId="7C6EA9A6" w:rsidR="00784DBB" w:rsidRPr="00380AFC" w:rsidRDefault="00B105F6" w:rsidP="00380AFC">
      <w:pPr>
        <w:rPr>
          <w:rFonts w:eastAsia="Batang" w:cstheme="minorHAnsi"/>
          <w:sz w:val="22"/>
          <w:szCs w:val="22"/>
        </w:rPr>
      </w:pPr>
      <w:r w:rsidRPr="00B105F6">
        <w:rPr>
          <w:rFonts w:eastAsia="Batang" w:cstheme="minorHAnsi"/>
          <w:sz w:val="22"/>
          <w:szCs w:val="22"/>
        </w:rPr>
        <w:t>Under this option, jurisdictions would continue to regulate the operation of cranes in maritime workplaces under the existing provisions in their WHS laws.</w:t>
      </w:r>
      <w:r w:rsidR="00896341" w:rsidRPr="00380AFC">
        <w:rPr>
          <w:rFonts w:eastAsia="Batang" w:cstheme="minorHAnsi"/>
          <w:sz w:val="22"/>
          <w:szCs w:val="22"/>
        </w:rPr>
        <w:t xml:space="preserve"> </w:t>
      </w:r>
    </w:p>
    <w:p w14:paraId="7B7EA34B" w14:textId="5CBCA4EC" w:rsidR="005F498A" w:rsidRPr="00380AFC" w:rsidRDefault="00884DFC" w:rsidP="00380AFC">
      <w:pPr>
        <w:rPr>
          <w:rFonts w:eastAsia="Batang" w:cstheme="minorHAnsi"/>
          <w:sz w:val="22"/>
          <w:szCs w:val="22"/>
        </w:rPr>
      </w:pPr>
      <w:proofErr w:type="gramStart"/>
      <w:r>
        <w:rPr>
          <w:rFonts w:eastAsia="Batang" w:cstheme="minorHAnsi"/>
          <w:sz w:val="22"/>
          <w:szCs w:val="22"/>
        </w:rPr>
        <w:t>For the purpose of</w:t>
      </w:r>
      <w:proofErr w:type="gramEnd"/>
      <w:r>
        <w:rPr>
          <w:rFonts w:eastAsia="Batang" w:cstheme="minorHAnsi"/>
          <w:sz w:val="22"/>
          <w:szCs w:val="22"/>
        </w:rPr>
        <w:t xml:space="preserve"> this paper, t</w:t>
      </w:r>
      <w:r w:rsidR="00734414">
        <w:rPr>
          <w:rFonts w:eastAsia="Batang" w:cstheme="minorHAnsi"/>
          <w:sz w:val="22"/>
          <w:szCs w:val="22"/>
        </w:rPr>
        <w:t xml:space="preserve">he </w:t>
      </w:r>
      <w:r w:rsidR="00F255C5">
        <w:rPr>
          <w:rFonts w:eastAsia="Batang" w:cstheme="minorHAnsi"/>
          <w:sz w:val="22"/>
          <w:szCs w:val="22"/>
        </w:rPr>
        <w:t xml:space="preserve">existing </w:t>
      </w:r>
      <w:r>
        <w:rPr>
          <w:rFonts w:eastAsia="Batang" w:cstheme="minorHAnsi"/>
          <w:sz w:val="22"/>
          <w:szCs w:val="22"/>
        </w:rPr>
        <w:t xml:space="preserve">arrangements would also </w:t>
      </w:r>
      <w:r w:rsidR="00734414">
        <w:rPr>
          <w:rFonts w:eastAsia="Batang" w:cstheme="minorHAnsi"/>
          <w:sz w:val="22"/>
          <w:szCs w:val="22"/>
        </w:rPr>
        <w:t xml:space="preserve">include </w:t>
      </w:r>
      <w:r>
        <w:rPr>
          <w:rFonts w:eastAsia="Batang" w:cstheme="minorHAnsi"/>
          <w:sz w:val="22"/>
          <w:szCs w:val="22"/>
        </w:rPr>
        <w:t xml:space="preserve">proposed </w:t>
      </w:r>
      <w:r w:rsidR="00734414">
        <w:rPr>
          <w:rFonts w:eastAsia="Batang" w:cstheme="minorHAnsi"/>
          <w:sz w:val="22"/>
          <w:szCs w:val="22"/>
        </w:rPr>
        <w:t>a</w:t>
      </w:r>
      <w:r w:rsidR="00F36CA4" w:rsidRPr="00380AFC">
        <w:rPr>
          <w:rFonts w:eastAsia="Batang" w:cstheme="minorHAnsi"/>
          <w:sz w:val="22"/>
          <w:szCs w:val="22"/>
        </w:rPr>
        <w:t xml:space="preserve">mendments to the model WHS </w:t>
      </w:r>
      <w:r w:rsidR="00CB14BE" w:rsidRPr="00380AFC">
        <w:rPr>
          <w:rFonts w:eastAsia="Batang" w:cstheme="minorHAnsi"/>
          <w:sz w:val="22"/>
          <w:szCs w:val="22"/>
        </w:rPr>
        <w:t>R</w:t>
      </w:r>
      <w:r w:rsidR="00F36CA4" w:rsidRPr="00380AFC">
        <w:rPr>
          <w:rFonts w:eastAsia="Batang" w:cstheme="minorHAnsi"/>
          <w:sz w:val="22"/>
          <w:szCs w:val="22"/>
        </w:rPr>
        <w:t xml:space="preserve">egulations </w:t>
      </w:r>
      <w:r w:rsidR="00734414">
        <w:rPr>
          <w:rFonts w:eastAsia="Batang" w:cstheme="minorHAnsi"/>
          <w:sz w:val="22"/>
          <w:szCs w:val="22"/>
        </w:rPr>
        <w:t xml:space="preserve">that </w:t>
      </w:r>
      <w:r w:rsidR="00F36CA4" w:rsidRPr="00380AFC">
        <w:rPr>
          <w:rFonts w:eastAsia="Batang" w:cstheme="minorHAnsi"/>
          <w:sz w:val="22"/>
          <w:szCs w:val="22"/>
        </w:rPr>
        <w:t xml:space="preserve">are </w:t>
      </w:r>
      <w:r>
        <w:rPr>
          <w:rFonts w:eastAsia="Batang" w:cstheme="minorHAnsi"/>
          <w:sz w:val="22"/>
          <w:szCs w:val="22"/>
        </w:rPr>
        <w:t>currently being separately progressed</w:t>
      </w:r>
      <w:r w:rsidRPr="00380AFC">
        <w:rPr>
          <w:rFonts w:eastAsia="Batang" w:cstheme="minorHAnsi"/>
          <w:sz w:val="22"/>
          <w:szCs w:val="22"/>
        </w:rPr>
        <w:t xml:space="preserve"> </w:t>
      </w:r>
      <w:r w:rsidR="00F36CA4" w:rsidRPr="00380AFC">
        <w:rPr>
          <w:rFonts w:eastAsia="Batang" w:cstheme="minorHAnsi"/>
          <w:sz w:val="22"/>
          <w:szCs w:val="22"/>
        </w:rPr>
        <w:t>to clarify that a HRW licence is required for the operation of cranes</w:t>
      </w:r>
      <w:r w:rsidR="00565C9E" w:rsidRPr="00380AFC">
        <w:rPr>
          <w:rFonts w:eastAsia="Batang" w:cstheme="minorHAnsi"/>
          <w:sz w:val="22"/>
          <w:szCs w:val="22"/>
        </w:rPr>
        <w:t xml:space="preserve"> </w:t>
      </w:r>
      <w:r w:rsidR="00042C79" w:rsidRPr="00380AFC">
        <w:rPr>
          <w:rFonts w:eastAsia="Batang" w:cstheme="minorHAnsi"/>
          <w:sz w:val="22"/>
          <w:szCs w:val="22"/>
        </w:rPr>
        <w:t xml:space="preserve">classed as high risk work in </w:t>
      </w:r>
      <w:r w:rsidR="00565C9E" w:rsidRPr="00380AFC">
        <w:rPr>
          <w:rFonts w:eastAsia="Batang" w:cstheme="minorHAnsi"/>
          <w:sz w:val="22"/>
          <w:szCs w:val="22"/>
        </w:rPr>
        <w:t>Schedule 3</w:t>
      </w:r>
      <w:r w:rsidR="00042C79" w:rsidRPr="00380AFC">
        <w:rPr>
          <w:rFonts w:eastAsia="Batang" w:cstheme="minorHAnsi"/>
          <w:sz w:val="22"/>
          <w:szCs w:val="22"/>
        </w:rPr>
        <w:t xml:space="preserve"> </w:t>
      </w:r>
      <w:r w:rsidR="00BC7E10">
        <w:rPr>
          <w:rFonts w:eastAsia="Batang" w:cstheme="minorHAnsi"/>
          <w:sz w:val="22"/>
          <w:szCs w:val="22"/>
        </w:rPr>
        <w:t>to</w:t>
      </w:r>
      <w:r w:rsidR="00BC7E10" w:rsidRPr="00380AFC">
        <w:rPr>
          <w:rFonts w:eastAsia="Batang" w:cstheme="minorHAnsi"/>
          <w:sz w:val="22"/>
          <w:szCs w:val="22"/>
        </w:rPr>
        <w:t xml:space="preserve"> </w:t>
      </w:r>
      <w:r w:rsidR="00042C79" w:rsidRPr="00380AFC">
        <w:rPr>
          <w:rFonts w:eastAsia="Batang" w:cstheme="minorHAnsi"/>
          <w:sz w:val="22"/>
          <w:szCs w:val="22"/>
        </w:rPr>
        <w:t xml:space="preserve">the </w:t>
      </w:r>
      <w:r w:rsidR="003E2E64" w:rsidRPr="00380AFC">
        <w:rPr>
          <w:rFonts w:eastAsia="Batang" w:cstheme="minorHAnsi"/>
          <w:sz w:val="22"/>
          <w:szCs w:val="22"/>
        </w:rPr>
        <w:t xml:space="preserve">model </w:t>
      </w:r>
      <w:r w:rsidR="00042C79" w:rsidRPr="00380AFC">
        <w:rPr>
          <w:rFonts w:eastAsia="Batang" w:cstheme="minorHAnsi"/>
          <w:sz w:val="22"/>
          <w:szCs w:val="22"/>
        </w:rPr>
        <w:t xml:space="preserve">WHS </w:t>
      </w:r>
      <w:r w:rsidR="003E2E64" w:rsidRPr="00380AFC">
        <w:rPr>
          <w:rFonts w:eastAsia="Batang" w:cstheme="minorHAnsi"/>
          <w:sz w:val="22"/>
          <w:szCs w:val="22"/>
        </w:rPr>
        <w:t>R</w:t>
      </w:r>
      <w:r w:rsidR="00042C79" w:rsidRPr="00380AFC">
        <w:rPr>
          <w:rFonts w:eastAsia="Batang" w:cstheme="minorHAnsi"/>
          <w:sz w:val="22"/>
          <w:szCs w:val="22"/>
        </w:rPr>
        <w:t>egulations</w:t>
      </w:r>
      <w:r w:rsidR="00565C9E" w:rsidRPr="00380AFC">
        <w:rPr>
          <w:rFonts w:eastAsia="Batang" w:cstheme="minorHAnsi"/>
          <w:sz w:val="22"/>
          <w:szCs w:val="22"/>
        </w:rPr>
        <w:t>, even when operated</w:t>
      </w:r>
      <w:r w:rsidR="00F36CA4" w:rsidRPr="00380AFC">
        <w:rPr>
          <w:rFonts w:eastAsia="Batang" w:cstheme="minorHAnsi"/>
          <w:sz w:val="22"/>
          <w:szCs w:val="22"/>
        </w:rPr>
        <w:t xml:space="preserve"> on board vessels. These</w:t>
      </w:r>
      <w:r w:rsidR="00007C9C">
        <w:rPr>
          <w:rFonts w:eastAsia="Batang" w:cstheme="minorHAnsi"/>
          <w:sz w:val="22"/>
          <w:szCs w:val="22"/>
        </w:rPr>
        <w:t xml:space="preserve"> amendments</w:t>
      </w:r>
      <w:r w:rsidR="00F36CA4" w:rsidRPr="00380AFC">
        <w:rPr>
          <w:rFonts w:eastAsia="Batang" w:cstheme="minorHAnsi"/>
          <w:sz w:val="22"/>
          <w:szCs w:val="22"/>
        </w:rPr>
        <w:t xml:space="preserve"> aim to remove ambiguity and support consistent licensing practices across maritime </w:t>
      </w:r>
      <w:r w:rsidR="00120EF2" w:rsidRPr="00380AFC">
        <w:rPr>
          <w:rFonts w:eastAsia="Batang" w:cstheme="minorHAnsi"/>
          <w:sz w:val="22"/>
          <w:szCs w:val="22"/>
        </w:rPr>
        <w:t>workplaces</w:t>
      </w:r>
      <w:r w:rsidR="00F36CA4" w:rsidRPr="00380AFC">
        <w:rPr>
          <w:rFonts w:eastAsia="Batang" w:cstheme="minorHAnsi"/>
          <w:sz w:val="22"/>
          <w:szCs w:val="22"/>
        </w:rPr>
        <w:t xml:space="preserve">. However, </w:t>
      </w:r>
      <w:r w:rsidR="00734414" w:rsidRPr="00380AFC">
        <w:rPr>
          <w:rFonts w:eastAsia="Batang" w:cstheme="minorHAnsi"/>
          <w:sz w:val="22"/>
          <w:szCs w:val="22"/>
        </w:rPr>
        <w:t>the</w:t>
      </w:r>
      <w:r w:rsidR="00734414">
        <w:rPr>
          <w:rFonts w:eastAsia="Batang" w:cstheme="minorHAnsi"/>
          <w:sz w:val="22"/>
          <w:szCs w:val="22"/>
        </w:rPr>
        <w:t>se amendments</w:t>
      </w:r>
      <w:r w:rsidR="00734414" w:rsidRPr="00380AFC">
        <w:rPr>
          <w:rFonts w:eastAsia="Batang" w:cstheme="minorHAnsi"/>
          <w:sz w:val="22"/>
          <w:szCs w:val="22"/>
        </w:rPr>
        <w:t xml:space="preserve"> </w:t>
      </w:r>
      <w:r w:rsidR="00F36CA4" w:rsidRPr="00380AFC">
        <w:rPr>
          <w:rFonts w:eastAsia="Batang" w:cstheme="minorHAnsi"/>
          <w:sz w:val="22"/>
          <w:szCs w:val="22"/>
        </w:rPr>
        <w:t>do not introduce maritime-specific requirements or alter the broader jurisdictional arrangements currently in place.</w:t>
      </w:r>
      <w:r w:rsidR="0069239D">
        <w:rPr>
          <w:rFonts w:eastAsia="Batang" w:cstheme="minorHAnsi"/>
          <w:sz w:val="22"/>
          <w:szCs w:val="22"/>
        </w:rPr>
        <w:t xml:space="preserve"> </w:t>
      </w:r>
    </w:p>
    <w:p w14:paraId="4E87B580" w14:textId="7AC8324D" w:rsidR="0069080B" w:rsidRPr="0069080B" w:rsidRDefault="00784DBB" w:rsidP="0069080B">
      <w:pPr>
        <w:rPr>
          <w:rFonts w:eastAsia="Batang" w:cstheme="minorHAnsi"/>
          <w:sz w:val="22"/>
          <w:szCs w:val="22"/>
        </w:rPr>
      </w:pPr>
      <w:r w:rsidRPr="00380AFC">
        <w:rPr>
          <w:rFonts w:eastAsia="Batang" w:cstheme="minorHAnsi"/>
          <w:sz w:val="22"/>
          <w:szCs w:val="22"/>
        </w:rPr>
        <w:t xml:space="preserve">Retaining </w:t>
      </w:r>
      <w:r w:rsidR="00007C9C">
        <w:rPr>
          <w:rFonts w:eastAsia="Batang" w:cstheme="minorHAnsi"/>
          <w:sz w:val="22"/>
          <w:szCs w:val="22"/>
        </w:rPr>
        <w:t>current</w:t>
      </w:r>
      <w:r w:rsidR="00007C9C" w:rsidRPr="00380AFC">
        <w:rPr>
          <w:rFonts w:eastAsia="Batang" w:cstheme="minorHAnsi"/>
          <w:sz w:val="22"/>
          <w:szCs w:val="22"/>
        </w:rPr>
        <w:t xml:space="preserve"> </w:t>
      </w:r>
      <w:r w:rsidRPr="00380AFC">
        <w:rPr>
          <w:rFonts w:eastAsia="Batang" w:cstheme="minorHAnsi"/>
          <w:sz w:val="22"/>
          <w:szCs w:val="22"/>
        </w:rPr>
        <w:t xml:space="preserve">arrangements would preserve existing regulatory approaches and avoid imposing additional costs or administrative burden on duty holders. However, </w:t>
      </w:r>
      <w:r w:rsidR="006A0A94" w:rsidRPr="006A0A94">
        <w:rPr>
          <w:rFonts w:eastAsia="Batang" w:cstheme="minorHAnsi"/>
          <w:sz w:val="22"/>
          <w:szCs w:val="22"/>
        </w:rPr>
        <w:t xml:space="preserve">this option would continue to rely on existing competency </w:t>
      </w:r>
      <w:r w:rsidR="006C1E1C">
        <w:rPr>
          <w:rFonts w:eastAsia="Batang" w:cstheme="minorHAnsi"/>
          <w:sz w:val="22"/>
          <w:szCs w:val="22"/>
        </w:rPr>
        <w:t>re</w:t>
      </w:r>
      <w:r w:rsidR="004E1194">
        <w:rPr>
          <w:rFonts w:eastAsia="Batang" w:cstheme="minorHAnsi"/>
          <w:sz w:val="22"/>
          <w:szCs w:val="22"/>
        </w:rPr>
        <w:t>quirements</w:t>
      </w:r>
      <w:r w:rsidR="006A0A94" w:rsidRPr="006A0A94">
        <w:rPr>
          <w:rFonts w:eastAsia="Batang" w:cstheme="minorHAnsi"/>
          <w:sz w:val="22"/>
          <w:szCs w:val="22"/>
        </w:rPr>
        <w:t xml:space="preserve"> under WHS laws, which may</w:t>
      </w:r>
      <w:r w:rsidR="006A0A94">
        <w:rPr>
          <w:rFonts w:eastAsia="Batang" w:cstheme="minorHAnsi"/>
          <w:sz w:val="22"/>
          <w:szCs w:val="22"/>
        </w:rPr>
        <w:t xml:space="preserve"> </w:t>
      </w:r>
      <w:r w:rsidRPr="00380AFC">
        <w:rPr>
          <w:rFonts w:eastAsia="Batang" w:cstheme="minorHAnsi"/>
          <w:sz w:val="22"/>
          <w:szCs w:val="22"/>
        </w:rPr>
        <w:t>not address the identified</w:t>
      </w:r>
      <w:r w:rsidR="00150709">
        <w:rPr>
          <w:rFonts w:eastAsia="Batang" w:cstheme="minorHAnsi"/>
          <w:sz w:val="22"/>
          <w:szCs w:val="22"/>
        </w:rPr>
        <w:t xml:space="preserve"> training and</w:t>
      </w:r>
      <w:r w:rsidRPr="00380AFC">
        <w:rPr>
          <w:rFonts w:eastAsia="Batang" w:cstheme="minorHAnsi"/>
          <w:sz w:val="22"/>
          <w:szCs w:val="22"/>
        </w:rPr>
        <w:t xml:space="preserve"> competency gaps associated with crane operations in dynamic maritime </w:t>
      </w:r>
      <w:r w:rsidR="006E113F" w:rsidRPr="00380AFC">
        <w:rPr>
          <w:rFonts w:eastAsia="Batang" w:cstheme="minorHAnsi"/>
          <w:sz w:val="22"/>
          <w:szCs w:val="22"/>
        </w:rPr>
        <w:t>workplaces</w:t>
      </w:r>
      <w:r w:rsidRPr="00380AFC">
        <w:rPr>
          <w:rFonts w:eastAsia="Batang" w:cstheme="minorHAnsi"/>
          <w:sz w:val="22"/>
          <w:szCs w:val="22"/>
        </w:rPr>
        <w:t>.</w:t>
      </w:r>
      <w:r w:rsidR="003D79B4">
        <w:rPr>
          <w:rFonts w:eastAsia="Batang" w:cstheme="minorHAnsi"/>
          <w:sz w:val="22"/>
          <w:szCs w:val="22"/>
        </w:rPr>
        <w:t xml:space="preserve"> </w:t>
      </w:r>
      <w:r w:rsidR="0069080B" w:rsidRPr="0069080B">
        <w:rPr>
          <w:rFonts w:eastAsia="Batang" w:cstheme="minorHAnsi"/>
          <w:sz w:val="22"/>
          <w:szCs w:val="22"/>
        </w:rPr>
        <w:t xml:space="preserve">National guidance developed under this option would support </w:t>
      </w:r>
      <w:r w:rsidR="0069080B" w:rsidRPr="0069080B">
        <w:rPr>
          <w:rFonts w:eastAsia="Batang" w:cstheme="minorHAnsi"/>
          <w:sz w:val="22"/>
          <w:szCs w:val="22"/>
        </w:rPr>
        <w:lastRenderedPageBreak/>
        <w:t>improved clarity on the interaction between WHS and maritime laws, but this option would not introduce new regulatory requirements tailored to maritime crane operations.</w:t>
      </w:r>
    </w:p>
    <w:p w14:paraId="2AC6B173" w14:textId="2BE47A86" w:rsidR="00784DBB" w:rsidRPr="006F0D95" w:rsidRDefault="00784DBB" w:rsidP="00AF7548">
      <w:pPr>
        <w:pStyle w:val="Paragraph0"/>
        <w:spacing w:before="120" w:after="120"/>
        <w:rPr>
          <w:b/>
          <w:bCs/>
          <w:i/>
          <w:iCs/>
          <w:sz w:val="22"/>
          <w:szCs w:val="22"/>
        </w:rPr>
      </w:pPr>
      <w:r w:rsidRPr="006F0D95">
        <w:rPr>
          <w:b/>
          <w:bCs/>
          <w:i/>
          <w:iCs/>
          <w:sz w:val="22"/>
          <w:szCs w:val="22"/>
        </w:rPr>
        <w:t>National guidance material</w:t>
      </w:r>
    </w:p>
    <w:p w14:paraId="78007281" w14:textId="77777777" w:rsidR="00BD7D77" w:rsidRPr="00BD7D77" w:rsidRDefault="00BD7D77" w:rsidP="00BD7D77">
      <w:pPr>
        <w:rPr>
          <w:rFonts w:eastAsia="Batang" w:cstheme="minorHAnsi"/>
          <w:sz w:val="22"/>
          <w:szCs w:val="22"/>
        </w:rPr>
      </w:pPr>
      <w:r w:rsidRPr="00BD7D77">
        <w:rPr>
          <w:rFonts w:eastAsia="Batang" w:cstheme="minorHAnsi"/>
          <w:sz w:val="22"/>
          <w:szCs w:val="22"/>
        </w:rPr>
        <w:t>Under this option, national guidance would be developed to clarify how WHS and maritime laws intersect in relation to crane operations on vessels and other maritime workplaces. This guidance would aim to support consistent understanding and application of existing regulatory responsibilities, including when a high risk work (HRW) licence is required and how duty holders can demonstrate competency in dynamic maritime environments.</w:t>
      </w:r>
    </w:p>
    <w:p w14:paraId="4435BEC4" w14:textId="77777777" w:rsidR="00BD7D77" w:rsidRPr="00BD7D77" w:rsidRDefault="00BD7D77" w:rsidP="00BD7D77">
      <w:pPr>
        <w:rPr>
          <w:rFonts w:eastAsia="Batang" w:cstheme="minorHAnsi"/>
          <w:sz w:val="22"/>
          <w:szCs w:val="22"/>
        </w:rPr>
      </w:pPr>
      <w:r w:rsidRPr="00BD7D77">
        <w:rPr>
          <w:rFonts w:eastAsia="Batang" w:cstheme="minorHAnsi"/>
          <w:sz w:val="22"/>
          <w:szCs w:val="22"/>
        </w:rPr>
        <w:t>The guidance would not introduce new regulatory obligations but would assist duty holders, regulators and training providers by outlining how existing requirements apply in maritime contexts. It would also help address areas where the interaction between WHS and maritime legislation has previously caused uncertainty, supporting clearer compliance pathways without imposing additional administrative or financial burden.</w:t>
      </w:r>
    </w:p>
    <w:p w14:paraId="1743767B" w14:textId="688F8F4D" w:rsidR="00784DBB" w:rsidRPr="00380AFC" w:rsidRDefault="00784DBB" w:rsidP="00380AFC">
      <w:pPr>
        <w:rPr>
          <w:rFonts w:eastAsia="Batang" w:cstheme="minorHAnsi"/>
          <w:sz w:val="22"/>
          <w:szCs w:val="22"/>
        </w:rPr>
      </w:pPr>
      <w:r w:rsidRPr="00380AFC">
        <w:rPr>
          <w:rFonts w:eastAsia="Batang" w:cstheme="minorHAnsi"/>
          <w:sz w:val="22"/>
          <w:szCs w:val="22"/>
        </w:rPr>
        <w:t xml:space="preserve">While the development of guidance may contribute to improved awareness and safer practices, the overall WHS benefits are expected to be lower than those provided by regulatory options that introduce specific licensing or training requirements. </w:t>
      </w:r>
    </w:p>
    <w:tbl>
      <w:tblPr>
        <w:tblStyle w:val="TableGrid"/>
        <w:tblW w:w="0" w:type="auto"/>
        <w:tblLook w:val="04A0" w:firstRow="1" w:lastRow="0" w:firstColumn="1" w:lastColumn="0" w:noHBand="0" w:noVBand="1"/>
      </w:tblPr>
      <w:tblGrid>
        <w:gridCol w:w="9016"/>
      </w:tblGrid>
      <w:tr w:rsidR="00784DBB" w:rsidRPr="00D4728B" w14:paraId="1D991F5A" w14:textId="77777777" w:rsidTr="00EF1CEA">
        <w:tc>
          <w:tcPr>
            <w:tcW w:w="9016" w:type="dxa"/>
            <w:shd w:val="clear" w:color="auto" w:fill="D5B8EA"/>
          </w:tcPr>
          <w:p w14:paraId="39C03409" w14:textId="77777777" w:rsidR="00784DBB" w:rsidRPr="00EF4D51" w:rsidRDefault="00784DBB" w:rsidP="00EF1CEA">
            <w:pPr>
              <w:spacing w:before="60" w:after="60" w:line="259" w:lineRule="auto"/>
              <w:rPr>
                <w:rFonts w:cstheme="minorHAnsi"/>
                <w:b/>
                <w:bCs/>
                <w:color w:val="000000" w:themeColor="text1"/>
                <w:sz w:val="28"/>
                <w:szCs w:val="28"/>
              </w:rPr>
            </w:pPr>
            <w:r w:rsidRPr="00EF4D51">
              <w:rPr>
                <w:rFonts w:cstheme="minorHAnsi"/>
                <w:b/>
                <w:bCs/>
                <w:color w:val="000000" w:themeColor="text1"/>
                <w:sz w:val="28"/>
                <w:szCs w:val="28"/>
              </w:rPr>
              <w:t xml:space="preserve">Discussion </w:t>
            </w:r>
            <w:r>
              <w:rPr>
                <w:rFonts w:cstheme="minorHAnsi"/>
                <w:b/>
                <w:bCs/>
                <w:color w:val="000000" w:themeColor="text1"/>
                <w:sz w:val="28"/>
                <w:szCs w:val="28"/>
              </w:rPr>
              <w:t>q</w:t>
            </w:r>
            <w:r w:rsidRPr="00EF4D51">
              <w:rPr>
                <w:rFonts w:cstheme="minorHAnsi"/>
                <w:b/>
                <w:bCs/>
                <w:color w:val="000000" w:themeColor="text1"/>
                <w:sz w:val="28"/>
                <w:szCs w:val="28"/>
              </w:rPr>
              <w:t>uestions</w:t>
            </w:r>
          </w:p>
        </w:tc>
      </w:tr>
      <w:tr w:rsidR="00784DBB" w:rsidRPr="00D4728B" w14:paraId="50C9AA94" w14:textId="77777777" w:rsidTr="003F345E">
        <w:trPr>
          <w:trHeight w:val="1096"/>
        </w:trPr>
        <w:tc>
          <w:tcPr>
            <w:tcW w:w="9016" w:type="dxa"/>
            <w:shd w:val="clear" w:color="auto" w:fill="EADBF5"/>
          </w:tcPr>
          <w:p w14:paraId="7C2B52E6" w14:textId="5760A07F" w:rsidR="00784DBB" w:rsidRPr="003F345E" w:rsidRDefault="0034641E" w:rsidP="00A72D00">
            <w:pPr>
              <w:spacing w:before="120" w:after="60" w:line="259" w:lineRule="auto"/>
              <w:rPr>
                <w:rFonts w:cstheme="minorHAnsi"/>
                <w:sz w:val="22"/>
                <w:szCs w:val="22"/>
              </w:rPr>
            </w:pPr>
            <w:r>
              <w:rPr>
                <w:rFonts w:cstheme="minorHAnsi"/>
                <w:iCs/>
                <w:sz w:val="22"/>
                <w:szCs w:val="22"/>
                <w:u w:val="single"/>
              </w:rPr>
              <w:t>Support and implementation</w:t>
            </w:r>
          </w:p>
          <w:p w14:paraId="3EAB992C" w14:textId="7DBA0098" w:rsidR="00784DBB" w:rsidRPr="00CD0366" w:rsidRDefault="00784DBB" w:rsidP="00A72D00">
            <w:pPr>
              <w:pStyle w:val="ListParagraph"/>
              <w:numPr>
                <w:ilvl w:val="0"/>
                <w:numId w:val="17"/>
              </w:numPr>
              <w:spacing w:after="120" w:line="22" w:lineRule="atLeast"/>
              <w:ind w:left="357" w:hanging="357"/>
              <w:contextualSpacing w:val="0"/>
              <w:rPr>
                <w:rFonts w:cstheme="minorHAnsi"/>
                <w:sz w:val="22"/>
                <w:szCs w:val="22"/>
              </w:rPr>
            </w:pPr>
            <w:r w:rsidRPr="009C0693">
              <w:rPr>
                <w:rFonts w:cstheme="minorHAnsi"/>
                <w:b/>
                <w:bCs/>
                <w:sz w:val="22"/>
                <w:szCs w:val="22"/>
              </w:rPr>
              <w:t xml:space="preserve">Do you support </w:t>
            </w:r>
            <w:r w:rsidR="00CD6B0B" w:rsidRPr="009C0693">
              <w:rPr>
                <w:rFonts w:cstheme="minorHAnsi"/>
                <w:b/>
                <w:bCs/>
                <w:sz w:val="22"/>
                <w:szCs w:val="22"/>
              </w:rPr>
              <w:t>O</w:t>
            </w:r>
            <w:r w:rsidRPr="009C0693">
              <w:rPr>
                <w:rFonts w:cstheme="minorHAnsi"/>
                <w:b/>
                <w:bCs/>
                <w:sz w:val="22"/>
                <w:szCs w:val="22"/>
              </w:rPr>
              <w:t>ption</w:t>
            </w:r>
            <w:r w:rsidR="00CD6B0B" w:rsidRPr="009C0693">
              <w:rPr>
                <w:rFonts w:cstheme="minorHAnsi"/>
                <w:b/>
                <w:bCs/>
                <w:sz w:val="22"/>
                <w:szCs w:val="22"/>
              </w:rPr>
              <w:t xml:space="preserve"> 1 – </w:t>
            </w:r>
            <w:r w:rsidRPr="009C0693">
              <w:rPr>
                <w:rFonts w:cstheme="minorHAnsi"/>
                <w:b/>
                <w:bCs/>
                <w:sz w:val="22"/>
                <w:szCs w:val="22"/>
              </w:rPr>
              <w:t>retaining current arrangements with the development of supporting national guidance?</w:t>
            </w:r>
            <w:r w:rsidRPr="009C0693">
              <w:rPr>
                <w:b/>
                <w:bCs/>
                <w:sz w:val="22"/>
                <w:szCs w:val="22"/>
              </w:rPr>
              <w:t xml:space="preserve"> </w:t>
            </w:r>
            <w:r w:rsidRPr="003F345E">
              <w:rPr>
                <w:sz w:val="22"/>
                <w:szCs w:val="22"/>
              </w:rPr>
              <w:t xml:space="preserve">Please explain and provide evidence to support your </w:t>
            </w:r>
            <w:r w:rsidRPr="00CD0366">
              <w:rPr>
                <w:sz w:val="22"/>
                <w:szCs w:val="22"/>
              </w:rPr>
              <w:t>views where possible</w:t>
            </w:r>
            <w:r w:rsidR="00CD0366" w:rsidRPr="00CD0366">
              <w:rPr>
                <w:sz w:val="22"/>
                <w:szCs w:val="22"/>
              </w:rPr>
              <w:t>.</w:t>
            </w:r>
          </w:p>
          <w:p w14:paraId="18EEB595" w14:textId="3BD2FAF5" w:rsidR="00E00C77" w:rsidRPr="00E00C77" w:rsidRDefault="00E00C77" w:rsidP="00082B8D">
            <w:pPr>
              <w:pStyle w:val="ListParagraph"/>
              <w:numPr>
                <w:ilvl w:val="0"/>
                <w:numId w:val="17"/>
              </w:numPr>
              <w:spacing w:before="120" w:after="120" w:line="22" w:lineRule="atLeast"/>
              <w:ind w:left="357" w:hanging="357"/>
              <w:contextualSpacing w:val="0"/>
              <w:rPr>
                <w:rFonts w:cstheme="minorHAnsi"/>
                <w:sz w:val="22"/>
                <w:szCs w:val="22"/>
              </w:rPr>
            </w:pPr>
            <w:r w:rsidRPr="009C0693">
              <w:rPr>
                <w:b/>
                <w:bCs/>
                <w:sz w:val="22"/>
                <w:szCs w:val="22"/>
              </w:rPr>
              <w:t>What impact would this option have for you and your organisation?</w:t>
            </w:r>
            <w:r w:rsidRPr="00CD0366">
              <w:rPr>
                <w:sz w:val="22"/>
                <w:szCs w:val="22"/>
              </w:rPr>
              <w:br/>
              <w:t>Consider improvements</w:t>
            </w:r>
            <w:r w:rsidR="004A48C8" w:rsidRPr="00CD0366">
              <w:rPr>
                <w:sz w:val="22"/>
                <w:szCs w:val="22"/>
              </w:rPr>
              <w:t xml:space="preserve"> </w:t>
            </w:r>
            <w:r w:rsidR="004A48C8">
              <w:rPr>
                <w:sz w:val="22"/>
                <w:szCs w:val="22"/>
              </w:rPr>
              <w:t xml:space="preserve">in </w:t>
            </w:r>
            <w:r w:rsidR="004A48C8" w:rsidRPr="00CD0366">
              <w:rPr>
                <w:sz w:val="22"/>
                <w:szCs w:val="22"/>
              </w:rPr>
              <w:t>WHS</w:t>
            </w:r>
            <w:r w:rsidR="004A48C8">
              <w:rPr>
                <w:sz w:val="22"/>
                <w:szCs w:val="22"/>
              </w:rPr>
              <w:t xml:space="preserve"> outcomes</w:t>
            </w:r>
            <w:r w:rsidRPr="00CD0366">
              <w:rPr>
                <w:sz w:val="22"/>
                <w:szCs w:val="22"/>
              </w:rPr>
              <w:t xml:space="preserve">, business costs, and any </w:t>
            </w:r>
            <w:r>
              <w:rPr>
                <w:sz w:val="22"/>
                <w:szCs w:val="22"/>
              </w:rPr>
              <w:t>other significant impacts.</w:t>
            </w:r>
          </w:p>
          <w:p w14:paraId="12B1F9D2" w14:textId="7FD145D0" w:rsidR="00784DBB" w:rsidRPr="00B77DAC" w:rsidRDefault="00E00C77" w:rsidP="006038DB">
            <w:pPr>
              <w:pStyle w:val="ListParagraph"/>
              <w:numPr>
                <w:ilvl w:val="0"/>
                <w:numId w:val="17"/>
              </w:numPr>
              <w:spacing w:before="120" w:after="120" w:line="22" w:lineRule="atLeast"/>
              <w:ind w:left="357" w:hanging="357"/>
              <w:contextualSpacing w:val="0"/>
              <w:rPr>
                <w:rFonts w:cstheme="minorHAnsi"/>
                <w:b/>
                <w:sz w:val="22"/>
                <w:szCs w:val="22"/>
              </w:rPr>
            </w:pPr>
            <w:r w:rsidRPr="00B77DAC">
              <w:rPr>
                <w:b/>
                <w:sz w:val="22"/>
                <w:szCs w:val="22"/>
              </w:rPr>
              <w:t>Are there additional non-regulatory approaches</w:t>
            </w:r>
            <w:r w:rsidR="00157CA0">
              <w:rPr>
                <w:b/>
                <w:sz w:val="22"/>
                <w:szCs w:val="22"/>
              </w:rPr>
              <w:t xml:space="preserve"> (in addition to guidance)</w:t>
            </w:r>
            <w:r w:rsidRPr="00B77DAC">
              <w:rPr>
                <w:b/>
                <w:sz w:val="22"/>
                <w:szCs w:val="22"/>
              </w:rPr>
              <w:t xml:space="preserve"> that should be considered to better support safe practices?</w:t>
            </w:r>
          </w:p>
        </w:tc>
      </w:tr>
    </w:tbl>
    <w:p w14:paraId="53D25CA6" w14:textId="6F5582DB" w:rsidR="00162302" w:rsidRPr="003F2124" w:rsidRDefault="00162302" w:rsidP="00162302">
      <w:pPr>
        <w:pStyle w:val="Heading2"/>
        <w:spacing w:before="240" w:after="60"/>
        <w:rPr>
          <w:rFonts w:asciiTheme="minorHAnsi" w:eastAsiaTheme="minorEastAsia" w:hAnsiTheme="minorHAnsi" w:cstheme="minorHAnsi"/>
          <w:color w:val="auto"/>
          <w:sz w:val="22"/>
          <w:szCs w:val="22"/>
        </w:rPr>
      </w:pPr>
      <w:bookmarkStart w:id="53" w:name="_Toc221540321"/>
      <w:bookmarkStart w:id="54" w:name="_Toc203021408"/>
      <w:bookmarkStart w:id="55" w:name="_Toc203021406"/>
      <w:r w:rsidRPr="003F2124">
        <w:rPr>
          <w:rFonts w:asciiTheme="minorHAnsi" w:eastAsiaTheme="minorHAnsi" w:hAnsiTheme="minorHAnsi" w:cstheme="minorHAnsi"/>
          <w:b/>
          <w:i/>
          <w:iCs/>
          <w:color w:val="6E2F9D"/>
        </w:rPr>
        <w:t xml:space="preserve">Option </w:t>
      </w:r>
      <w:r>
        <w:rPr>
          <w:rFonts w:asciiTheme="minorHAnsi" w:eastAsiaTheme="minorHAnsi" w:hAnsiTheme="minorHAnsi" w:cstheme="minorHAnsi"/>
          <w:b/>
          <w:i/>
          <w:iCs/>
          <w:color w:val="6E2F9D"/>
        </w:rPr>
        <w:t>2</w:t>
      </w:r>
      <w:r w:rsidRPr="003F2124">
        <w:rPr>
          <w:rFonts w:asciiTheme="minorHAnsi" w:eastAsiaTheme="minorHAnsi" w:hAnsiTheme="minorHAnsi" w:cstheme="minorHAnsi"/>
          <w:b/>
          <w:i/>
          <w:iCs/>
          <w:color w:val="6E2F9D"/>
        </w:rPr>
        <w:t xml:space="preserve"> </w:t>
      </w:r>
      <w:r w:rsidRPr="00970940">
        <w:rPr>
          <w:b/>
          <w:bCs/>
          <w:i/>
          <w:iCs/>
          <w:color w:val="490C61" w:themeColor="accent4"/>
          <w:szCs w:val="36"/>
        </w:rPr>
        <w:t>–</w:t>
      </w:r>
      <w:r w:rsidRPr="003F2124">
        <w:rPr>
          <w:rFonts w:asciiTheme="minorHAnsi" w:eastAsiaTheme="minorHAnsi" w:hAnsiTheme="minorHAnsi" w:cstheme="minorHAnsi"/>
          <w:b/>
          <w:i/>
          <w:iCs/>
          <w:color w:val="6E2F9D"/>
        </w:rPr>
        <w:t xml:space="preserve"> </w:t>
      </w:r>
      <w:r>
        <w:rPr>
          <w:rFonts w:asciiTheme="minorHAnsi" w:eastAsiaTheme="minorHAnsi" w:hAnsiTheme="minorHAnsi" w:cstheme="minorHAnsi"/>
          <w:b/>
          <w:i/>
          <w:iCs/>
          <w:color w:val="6E2F9D"/>
        </w:rPr>
        <w:t>I</w:t>
      </w:r>
      <w:r w:rsidRPr="003F2124">
        <w:rPr>
          <w:rFonts w:asciiTheme="minorHAnsi" w:eastAsiaTheme="minorHAnsi" w:hAnsiTheme="minorHAnsi" w:cstheme="minorHAnsi"/>
          <w:b/>
          <w:i/>
          <w:iCs/>
          <w:color w:val="6E2F9D"/>
        </w:rPr>
        <w:t xml:space="preserve">ntroduce a </w:t>
      </w:r>
      <w:r w:rsidR="0095600A">
        <w:rPr>
          <w:rFonts w:asciiTheme="minorHAnsi" w:eastAsiaTheme="minorHAnsi" w:hAnsiTheme="minorHAnsi" w:cstheme="minorHAnsi"/>
          <w:b/>
          <w:i/>
          <w:iCs/>
          <w:color w:val="6E2F9D"/>
        </w:rPr>
        <w:t>mandated</w:t>
      </w:r>
      <w:r w:rsidR="00E676BA">
        <w:rPr>
          <w:rFonts w:asciiTheme="minorHAnsi" w:eastAsiaTheme="minorHAnsi" w:hAnsiTheme="minorHAnsi" w:cstheme="minorHAnsi"/>
          <w:b/>
          <w:i/>
          <w:iCs/>
          <w:color w:val="6E2F9D"/>
        </w:rPr>
        <w:t xml:space="preserve"> training requirement for crane operations </w:t>
      </w:r>
      <w:r w:rsidR="00D963D3">
        <w:rPr>
          <w:rFonts w:asciiTheme="minorHAnsi" w:eastAsiaTheme="minorHAnsi" w:hAnsiTheme="minorHAnsi" w:cstheme="minorHAnsi"/>
          <w:b/>
          <w:i/>
          <w:iCs/>
          <w:color w:val="6E2F9D"/>
        </w:rPr>
        <w:t>on or over water</w:t>
      </w:r>
      <w:r>
        <w:rPr>
          <w:rFonts w:asciiTheme="minorHAnsi" w:eastAsiaTheme="minorHAnsi" w:hAnsiTheme="minorHAnsi" w:cstheme="minorHAnsi"/>
          <w:b/>
          <w:i/>
          <w:iCs/>
          <w:color w:val="6E2F9D"/>
        </w:rPr>
        <w:t>.</w:t>
      </w:r>
      <w:bookmarkEnd w:id="53"/>
      <w:r w:rsidRPr="003F2124">
        <w:rPr>
          <w:rFonts w:asciiTheme="minorHAnsi" w:eastAsiaTheme="minorEastAsia" w:hAnsiTheme="minorHAnsi" w:cstheme="minorHAnsi"/>
          <w:color w:val="auto"/>
          <w:sz w:val="22"/>
          <w:szCs w:val="22"/>
        </w:rPr>
        <w:t xml:space="preserve"> </w:t>
      </w:r>
      <w:bookmarkEnd w:id="54"/>
    </w:p>
    <w:p w14:paraId="48393953" w14:textId="699119A4" w:rsidR="00162302" w:rsidRDefault="00162302" w:rsidP="00162302">
      <w:pPr>
        <w:spacing w:before="120"/>
        <w:ind w:left="23" w:hanging="23"/>
        <w:rPr>
          <w:rFonts w:cstheme="minorHAnsi"/>
          <w:sz w:val="22"/>
          <w:szCs w:val="22"/>
        </w:rPr>
      </w:pPr>
      <w:r w:rsidRPr="00BD1D62">
        <w:rPr>
          <w:rFonts w:cstheme="minorHAnsi"/>
          <w:sz w:val="22"/>
          <w:szCs w:val="22"/>
        </w:rPr>
        <w:t xml:space="preserve">Under this option, the model </w:t>
      </w:r>
      <w:r w:rsidR="00896341">
        <w:rPr>
          <w:rFonts w:cstheme="minorHAnsi"/>
          <w:sz w:val="22"/>
          <w:szCs w:val="22"/>
        </w:rPr>
        <w:t xml:space="preserve">WHS </w:t>
      </w:r>
      <w:r w:rsidRPr="00BD1D62">
        <w:rPr>
          <w:rFonts w:cstheme="minorHAnsi"/>
          <w:sz w:val="22"/>
          <w:szCs w:val="22"/>
        </w:rPr>
        <w:t xml:space="preserve">Regulations would be amended to </w:t>
      </w:r>
      <w:r w:rsidR="00B62FE9" w:rsidRPr="00873FB8">
        <w:rPr>
          <w:rFonts w:ascii="Arial" w:hAnsi="Arial" w:cs="Arial"/>
          <w:sz w:val="22"/>
          <w:szCs w:val="22"/>
        </w:rPr>
        <w:t xml:space="preserve">introduce a targeted training requirement for crane operators undertaking lifting operations where there are known hazards associated with hoisting loads on or over water. The requirement would </w:t>
      </w:r>
      <w:r w:rsidR="00DF03B3" w:rsidRPr="00873FB8">
        <w:rPr>
          <w:rFonts w:ascii="Arial" w:hAnsi="Arial" w:cs="Arial"/>
          <w:sz w:val="22"/>
          <w:szCs w:val="22"/>
        </w:rPr>
        <w:t xml:space="preserve">only </w:t>
      </w:r>
      <w:r w:rsidR="00B62FE9" w:rsidRPr="00873FB8">
        <w:rPr>
          <w:rFonts w:ascii="Arial" w:hAnsi="Arial" w:cs="Arial"/>
          <w:sz w:val="22"/>
          <w:szCs w:val="22"/>
        </w:rPr>
        <w:t>apply to crane high risk work (HRW) licence holders who perform, or are reasonably expected to perform, crane operations in maritime environments such as on board vessels or in portside locations where loads may be lifted or moved on or over water</w:t>
      </w:r>
      <w:r w:rsidR="00B62FE9" w:rsidRPr="00534518">
        <w:rPr>
          <w:rFonts w:ascii="Arial" w:hAnsi="Arial" w:cs="Arial"/>
        </w:rPr>
        <w:t>.</w:t>
      </w:r>
    </w:p>
    <w:p w14:paraId="56590A01" w14:textId="6810B1D8" w:rsidR="00162302" w:rsidRDefault="00162302" w:rsidP="00162302">
      <w:pPr>
        <w:ind w:left="22" w:hanging="22"/>
        <w:rPr>
          <w:rFonts w:cstheme="minorHAnsi"/>
          <w:sz w:val="22"/>
          <w:szCs w:val="22"/>
        </w:rPr>
      </w:pPr>
      <w:r w:rsidRPr="00061783">
        <w:rPr>
          <w:rFonts w:cstheme="minorHAnsi"/>
          <w:sz w:val="22"/>
          <w:szCs w:val="22"/>
        </w:rPr>
        <w:t>The concept of introducing a training requirement for crane operations on vessels was first proposed in the 2024 discussion paper</w:t>
      </w:r>
      <w:r>
        <w:rPr>
          <w:rFonts w:cstheme="minorHAnsi"/>
          <w:sz w:val="22"/>
          <w:szCs w:val="22"/>
        </w:rPr>
        <w:t xml:space="preserve"> </w:t>
      </w:r>
      <w:hyperlink r:id="rId30" w:history="1">
        <w:r w:rsidRPr="00E173D4">
          <w:rPr>
            <w:rStyle w:val="Hyperlink"/>
            <w:rFonts w:cstheme="minorHAnsi"/>
            <w:i/>
            <w:iCs/>
            <w:sz w:val="22"/>
            <w:szCs w:val="22"/>
          </w:rPr>
          <w:t>Improving crane licensing under the model work health and safety laws</w:t>
        </w:r>
      </w:hyperlink>
      <w:r>
        <w:rPr>
          <w:rFonts w:cstheme="minorHAnsi"/>
          <w:sz w:val="22"/>
          <w:szCs w:val="22"/>
        </w:rPr>
        <w:t>.</w:t>
      </w:r>
      <w:r w:rsidRPr="00061783">
        <w:rPr>
          <w:rFonts w:cstheme="minorHAnsi"/>
          <w:sz w:val="22"/>
          <w:szCs w:val="22"/>
        </w:rPr>
        <w:t xml:space="preserve"> </w:t>
      </w:r>
    </w:p>
    <w:p w14:paraId="1EE8A261" w14:textId="53321D1D" w:rsidR="00873FB8" w:rsidRPr="00873FB8" w:rsidRDefault="00873FB8" w:rsidP="00260830">
      <w:pPr>
        <w:spacing w:after="160" w:line="259" w:lineRule="auto"/>
        <w:rPr>
          <w:rFonts w:ascii="Arial" w:hAnsi="Arial" w:cs="Arial"/>
          <w:sz w:val="22"/>
          <w:szCs w:val="22"/>
        </w:rPr>
      </w:pPr>
      <w:r w:rsidRPr="00873FB8">
        <w:rPr>
          <w:rFonts w:ascii="Arial" w:hAnsi="Arial" w:cs="Arial"/>
          <w:sz w:val="22"/>
          <w:szCs w:val="22"/>
        </w:rPr>
        <w:t>The maritime crane training course would focus on the additional risks associated with maritime lifting, including vessel movement, dynamic loads, environmental conditions, communication protocols, and emergency response considerations. These risks differ from those typically encountered in land</w:t>
      </w:r>
      <w:r w:rsidRPr="00873FB8">
        <w:rPr>
          <w:rFonts w:ascii="Arial" w:hAnsi="Arial" w:cs="Arial"/>
          <w:sz w:val="22"/>
          <w:szCs w:val="22"/>
        </w:rPr>
        <w:noBreakHyphen/>
        <w:t xml:space="preserve">based crane operations and </w:t>
      </w:r>
      <w:r w:rsidR="00313D45">
        <w:rPr>
          <w:rFonts w:ascii="Arial" w:hAnsi="Arial" w:cs="Arial"/>
          <w:sz w:val="22"/>
          <w:szCs w:val="22"/>
        </w:rPr>
        <w:t xml:space="preserve">therefore </w:t>
      </w:r>
      <w:r w:rsidRPr="00873FB8">
        <w:rPr>
          <w:rFonts w:ascii="Arial" w:hAnsi="Arial" w:cs="Arial"/>
          <w:sz w:val="22"/>
          <w:szCs w:val="22"/>
        </w:rPr>
        <w:t xml:space="preserve">require </w:t>
      </w:r>
      <w:r w:rsidR="00313D45">
        <w:rPr>
          <w:rFonts w:ascii="Arial" w:hAnsi="Arial" w:cs="Arial"/>
          <w:sz w:val="22"/>
          <w:szCs w:val="22"/>
        </w:rPr>
        <w:t>specific</w:t>
      </w:r>
      <w:r w:rsidRPr="00873FB8">
        <w:rPr>
          <w:rFonts w:ascii="Arial" w:hAnsi="Arial" w:cs="Arial"/>
          <w:sz w:val="22"/>
          <w:szCs w:val="22"/>
        </w:rPr>
        <w:t xml:space="preserve"> </w:t>
      </w:r>
      <w:r w:rsidRPr="00873FB8">
        <w:rPr>
          <w:rFonts w:ascii="Arial" w:hAnsi="Arial" w:cs="Arial"/>
          <w:sz w:val="22"/>
          <w:szCs w:val="22"/>
        </w:rPr>
        <w:lastRenderedPageBreak/>
        <w:t>competencies beyond those delivered through existing crane HRW licence classes.</w:t>
      </w:r>
      <w:r w:rsidR="00016EB9">
        <w:rPr>
          <w:rFonts w:ascii="Arial" w:hAnsi="Arial" w:cs="Arial"/>
          <w:sz w:val="22"/>
          <w:szCs w:val="22"/>
        </w:rPr>
        <w:t xml:space="preserve"> The training</w:t>
      </w:r>
      <w:r w:rsidR="002114C0">
        <w:rPr>
          <w:rFonts w:ascii="Arial" w:hAnsi="Arial" w:cs="Arial"/>
          <w:sz w:val="22"/>
          <w:szCs w:val="22"/>
        </w:rPr>
        <w:t xml:space="preserve"> would be designed to develop these maritime-specific competencies, i</w:t>
      </w:r>
      <w:r w:rsidR="00F1309B">
        <w:rPr>
          <w:rFonts w:ascii="Arial" w:hAnsi="Arial" w:cs="Arial"/>
          <w:sz w:val="22"/>
          <w:szCs w:val="22"/>
        </w:rPr>
        <w:t xml:space="preserve">ncluding the ability to recognise and manage </w:t>
      </w:r>
      <w:r w:rsidR="000D60E0">
        <w:rPr>
          <w:rFonts w:ascii="Arial" w:hAnsi="Arial" w:cs="Arial"/>
          <w:sz w:val="22"/>
          <w:szCs w:val="22"/>
        </w:rPr>
        <w:t>the unique risk factors associated with lifting operations in dynamic maritime environments.</w:t>
      </w:r>
    </w:p>
    <w:p w14:paraId="5DAA2673" w14:textId="04A60F6A" w:rsidR="00873FB8" w:rsidRPr="00873FB8" w:rsidRDefault="00873FB8" w:rsidP="00260830">
      <w:pPr>
        <w:spacing w:after="160" w:line="259" w:lineRule="auto"/>
        <w:rPr>
          <w:rFonts w:ascii="Arial" w:hAnsi="Arial" w:cs="Arial"/>
          <w:sz w:val="22"/>
          <w:szCs w:val="22"/>
        </w:rPr>
      </w:pPr>
      <w:r w:rsidRPr="00873FB8">
        <w:rPr>
          <w:rFonts w:ascii="Arial" w:hAnsi="Arial" w:cs="Arial"/>
          <w:sz w:val="22"/>
          <w:szCs w:val="22"/>
        </w:rPr>
        <w:t xml:space="preserve">Under this option, individuals undertaking crane operations involving hoisting on or over water would be required to </w:t>
      </w:r>
      <w:r w:rsidR="00BE72E8">
        <w:rPr>
          <w:rFonts w:ascii="Arial" w:hAnsi="Arial" w:cs="Arial"/>
          <w:sz w:val="22"/>
          <w:szCs w:val="22"/>
        </w:rPr>
        <w:t xml:space="preserve">have first </w:t>
      </w:r>
      <w:r w:rsidRPr="00873FB8">
        <w:rPr>
          <w:rFonts w:ascii="Arial" w:hAnsi="Arial" w:cs="Arial"/>
          <w:sz w:val="22"/>
          <w:szCs w:val="22"/>
        </w:rPr>
        <w:t>complete</w:t>
      </w:r>
      <w:r w:rsidR="00BE72E8">
        <w:rPr>
          <w:rFonts w:ascii="Arial" w:hAnsi="Arial" w:cs="Arial"/>
          <w:sz w:val="22"/>
          <w:szCs w:val="22"/>
        </w:rPr>
        <w:t>d</w:t>
      </w:r>
      <w:r w:rsidRPr="00873FB8">
        <w:rPr>
          <w:rFonts w:ascii="Arial" w:hAnsi="Arial" w:cs="Arial"/>
          <w:sz w:val="22"/>
          <w:szCs w:val="22"/>
        </w:rPr>
        <w:t xml:space="preserve"> a newly developed maritime</w:t>
      </w:r>
      <w:r w:rsidRPr="00873FB8">
        <w:rPr>
          <w:rFonts w:ascii="Arial" w:hAnsi="Arial" w:cs="Arial"/>
          <w:sz w:val="22"/>
          <w:szCs w:val="22"/>
        </w:rPr>
        <w:noBreakHyphen/>
        <w:t xml:space="preserve">specific crane training course focused on these additional </w:t>
      </w:r>
      <w:r w:rsidR="00B358F2">
        <w:rPr>
          <w:rFonts w:ascii="Arial" w:hAnsi="Arial" w:cs="Arial"/>
          <w:sz w:val="22"/>
          <w:szCs w:val="22"/>
        </w:rPr>
        <w:t>risks</w:t>
      </w:r>
      <w:r w:rsidRPr="00873FB8">
        <w:rPr>
          <w:rFonts w:ascii="Arial" w:hAnsi="Arial" w:cs="Arial"/>
          <w:sz w:val="22"/>
          <w:szCs w:val="22"/>
        </w:rPr>
        <w:t xml:space="preserve"> and appropriate control measures.</w:t>
      </w:r>
    </w:p>
    <w:p w14:paraId="6391E0FE" w14:textId="5362D1AF" w:rsidR="00873FB8" w:rsidRPr="00873FB8" w:rsidRDefault="00873FB8" w:rsidP="00260830">
      <w:pPr>
        <w:spacing w:after="160" w:line="259" w:lineRule="auto"/>
        <w:rPr>
          <w:rFonts w:ascii="Arial" w:hAnsi="Arial" w:cs="Arial"/>
          <w:sz w:val="22"/>
          <w:szCs w:val="22"/>
        </w:rPr>
      </w:pPr>
      <w:r w:rsidRPr="00873FB8">
        <w:rPr>
          <w:rFonts w:ascii="Arial" w:hAnsi="Arial" w:cs="Arial"/>
          <w:sz w:val="22"/>
          <w:szCs w:val="22"/>
        </w:rPr>
        <w:t>To implement this requirement without creating a new HRW licence class, a permit</w:t>
      </w:r>
      <w:r w:rsidRPr="00873FB8">
        <w:rPr>
          <w:rFonts w:ascii="Arial" w:hAnsi="Arial" w:cs="Arial"/>
          <w:sz w:val="22"/>
          <w:szCs w:val="22"/>
        </w:rPr>
        <w:noBreakHyphen/>
        <w:t>type authorisation—available under existing mechanisms in the model WHS Act—could be issued to the HRW</w:t>
      </w:r>
      <w:r w:rsidR="006018AB">
        <w:rPr>
          <w:rFonts w:ascii="Arial" w:hAnsi="Arial" w:cs="Arial"/>
          <w:sz w:val="22"/>
          <w:szCs w:val="22"/>
        </w:rPr>
        <w:t xml:space="preserve"> licence</w:t>
      </w:r>
      <w:r w:rsidRPr="00873FB8">
        <w:rPr>
          <w:rFonts w:ascii="Arial" w:hAnsi="Arial" w:cs="Arial"/>
          <w:sz w:val="22"/>
          <w:szCs w:val="22"/>
        </w:rPr>
        <w:t xml:space="preserve"> holder. This authorisation would indicate that the individual has completed the maritime</w:t>
      </w:r>
      <w:r w:rsidRPr="00873FB8">
        <w:rPr>
          <w:rFonts w:ascii="Arial" w:hAnsi="Arial" w:cs="Arial"/>
          <w:sz w:val="22"/>
          <w:szCs w:val="22"/>
        </w:rPr>
        <w:noBreakHyphen/>
        <w:t>specific training and is competent to perform crane operations in maritime environments. The authorisation would be held in addition to the relevant crane HRW licence class.</w:t>
      </w:r>
    </w:p>
    <w:p w14:paraId="6E715A98" w14:textId="6A1A7704" w:rsidR="00873FB8" w:rsidRPr="00873FB8" w:rsidRDefault="00891D6C" w:rsidP="00260830">
      <w:pPr>
        <w:spacing w:after="160" w:line="259" w:lineRule="auto"/>
        <w:rPr>
          <w:rFonts w:ascii="Arial" w:hAnsi="Arial" w:cs="Arial"/>
          <w:sz w:val="22"/>
          <w:szCs w:val="22"/>
        </w:rPr>
      </w:pPr>
      <w:r>
        <w:rPr>
          <w:rFonts w:ascii="Arial" w:hAnsi="Arial" w:cs="Arial"/>
          <w:sz w:val="22"/>
          <w:szCs w:val="22"/>
        </w:rPr>
        <w:t>T</w:t>
      </w:r>
      <w:r w:rsidR="00873FB8" w:rsidRPr="00873FB8">
        <w:rPr>
          <w:rFonts w:ascii="Arial" w:hAnsi="Arial" w:cs="Arial"/>
          <w:sz w:val="22"/>
          <w:szCs w:val="22"/>
        </w:rPr>
        <w:t>he maritime</w:t>
      </w:r>
      <w:r w:rsidR="00873FB8" w:rsidRPr="00873FB8">
        <w:rPr>
          <w:rFonts w:ascii="Arial" w:hAnsi="Arial" w:cs="Arial"/>
          <w:sz w:val="22"/>
          <w:szCs w:val="22"/>
        </w:rPr>
        <w:noBreakHyphen/>
        <w:t>specific training would be required only where the operator is engaged in lifting work on or over water, ensuring a proportionate and risk</w:t>
      </w:r>
      <w:r w:rsidR="00873FB8" w:rsidRPr="00873FB8">
        <w:rPr>
          <w:rFonts w:ascii="Arial" w:hAnsi="Arial" w:cs="Arial"/>
          <w:sz w:val="22"/>
          <w:szCs w:val="22"/>
        </w:rPr>
        <w:noBreakHyphen/>
      </w:r>
      <w:r w:rsidR="00C6426D">
        <w:rPr>
          <w:rFonts w:ascii="Arial" w:hAnsi="Arial" w:cs="Arial"/>
          <w:sz w:val="22"/>
          <w:szCs w:val="22"/>
        </w:rPr>
        <w:t>bas</w:t>
      </w:r>
      <w:r w:rsidR="00873FB8" w:rsidRPr="00873FB8">
        <w:rPr>
          <w:rFonts w:ascii="Arial" w:hAnsi="Arial" w:cs="Arial"/>
          <w:sz w:val="22"/>
          <w:szCs w:val="22"/>
        </w:rPr>
        <w:t>ed regulatory approach.</w:t>
      </w:r>
    </w:p>
    <w:p w14:paraId="4E202204" w14:textId="4FEE0ADF" w:rsidR="00A5150D" w:rsidRDefault="00873FB8" w:rsidP="00873FB8">
      <w:pPr>
        <w:spacing w:after="160" w:line="259" w:lineRule="auto"/>
        <w:rPr>
          <w:rFonts w:ascii="Arial" w:hAnsi="Arial" w:cs="Arial"/>
          <w:sz w:val="22"/>
          <w:szCs w:val="22"/>
        </w:rPr>
      </w:pPr>
      <w:r w:rsidRPr="00873FB8">
        <w:rPr>
          <w:rFonts w:ascii="Arial" w:hAnsi="Arial" w:cs="Arial"/>
          <w:sz w:val="22"/>
          <w:szCs w:val="22"/>
        </w:rPr>
        <w:t xml:space="preserve">This targeted </w:t>
      </w:r>
      <w:r w:rsidR="00891D6C">
        <w:rPr>
          <w:rFonts w:ascii="Arial" w:hAnsi="Arial" w:cs="Arial"/>
          <w:sz w:val="22"/>
          <w:szCs w:val="22"/>
        </w:rPr>
        <w:t xml:space="preserve">approach </w:t>
      </w:r>
      <w:r w:rsidRPr="00873FB8">
        <w:rPr>
          <w:rFonts w:ascii="Arial" w:hAnsi="Arial" w:cs="Arial"/>
          <w:sz w:val="22"/>
          <w:szCs w:val="22"/>
        </w:rPr>
        <w:t>is intended to improve safety outcomes in higher</w:t>
      </w:r>
      <w:r w:rsidRPr="00873FB8">
        <w:rPr>
          <w:rFonts w:ascii="Arial" w:hAnsi="Arial" w:cs="Arial"/>
          <w:sz w:val="22"/>
          <w:szCs w:val="22"/>
        </w:rPr>
        <w:noBreakHyphen/>
        <w:t>risk maritime lifting scenarios, while avoiding unnecessary training, assessment and</w:t>
      </w:r>
      <w:r w:rsidR="00411E43">
        <w:rPr>
          <w:rFonts w:ascii="Arial" w:hAnsi="Arial" w:cs="Arial"/>
          <w:sz w:val="22"/>
          <w:szCs w:val="22"/>
        </w:rPr>
        <w:t xml:space="preserve"> ongoing</w:t>
      </w:r>
      <w:r w:rsidRPr="00873FB8">
        <w:rPr>
          <w:rFonts w:ascii="Arial" w:hAnsi="Arial" w:cs="Arial"/>
          <w:sz w:val="22"/>
          <w:szCs w:val="22"/>
        </w:rPr>
        <w:t xml:space="preserve"> maintenance obligations for crane operators who do not perform maritime crane operations.</w:t>
      </w:r>
    </w:p>
    <w:p w14:paraId="0DAD6FC2" w14:textId="1070FCB7" w:rsidR="00873FB8" w:rsidRPr="009219D6" w:rsidRDefault="00873FB8" w:rsidP="00873FB8">
      <w:pPr>
        <w:spacing w:after="160" w:line="259" w:lineRule="auto"/>
        <w:rPr>
          <w:rFonts w:ascii="Arial" w:hAnsi="Arial" w:cs="Arial"/>
        </w:rPr>
      </w:pPr>
      <w:r w:rsidRPr="00873FB8">
        <w:rPr>
          <w:rFonts w:ascii="Arial" w:hAnsi="Arial" w:cs="Arial"/>
          <w:sz w:val="22"/>
          <w:szCs w:val="22"/>
        </w:rPr>
        <w:t>It also recognises that maritime</w:t>
      </w:r>
      <w:r w:rsidR="00852ED6">
        <w:rPr>
          <w:rFonts w:ascii="Arial" w:hAnsi="Arial" w:cs="Arial"/>
          <w:sz w:val="22"/>
          <w:szCs w:val="22"/>
        </w:rPr>
        <w:t>-specific</w:t>
      </w:r>
      <w:r w:rsidR="00A80BEC">
        <w:rPr>
          <w:rFonts w:ascii="Arial" w:hAnsi="Arial" w:cs="Arial"/>
          <w:sz w:val="22"/>
          <w:szCs w:val="22"/>
        </w:rPr>
        <w:t xml:space="preserve"> </w:t>
      </w:r>
      <w:r w:rsidR="00F92E63">
        <w:rPr>
          <w:rFonts w:ascii="Arial" w:hAnsi="Arial" w:cs="Arial"/>
          <w:sz w:val="22"/>
          <w:szCs w:val="22"/>
        </w:rPr>
        <w:t>competencies</w:t>
      </w:r>
      <w:r w:rsidR="00A80BEC">
        <w:rPr>
          <w:rFonts w:ascii="Arial" w:hAnsi="Arial" w:cs="Arial"/>
          <w:sz w:val="22"/>
          <w:szCs w:val="22"/>
        </w:rPr>
        <w:t xml:space="preserve"> are only relevant for operators who</w:t>
      </w:r>
      <w:r w:rsidR="00A3018E">
        <w:rPr>
          <w:rFonts w:ascii="Arial" w:hAnsi="Arial" w:cs="Arial"/>
          <w:sz w:val="22"/>
          <w:szCs w:val="22"/>
        </w:rPr>
        <w:t>se roles</w:t>
      </w:r>
      <w:r w:rsidR="009743F3">
        <w:rPr>
          <w:rFonts w:ascii="Arial" w:hAnsi="Arial" w:cs="Arial"/>
          <w:sz w:val="22"/>
          <w:szCs w:val="22"/>
        </w:rPr>
        <w:t xml:space="preserve"> involve lifting operations</w:t>
      </w:r>
      <w:r w:rsidR="007D5384">
        <w:rPr>
          <w:rFonts w:ascii="Arial" w:hAnsi="Arial" w:cs="Arial"/>
          <w:sz w:val="22"/>
          <w:szCs w:val="22"/>
        </w:rPr>
        <w:t xml:space="preserve"> on or over water,</w:t>
      </w:r>
      <w:r w:rsidR="00897735">
        <w:rPr>
          <w:rFonts w:ascii="Arial" w:hAnsi="Arial" w:cs="Arial"/>
          <w:sz w:val="22"/>
          <w:szCs w:val="22"/>
        </w:rPr>
        <w:t xml:space="preserve"> and therefore the </w:t>
      </w:r>
      <w:r w:rsidR="00286C54">
        <w:rPr>
          <w:rFonts w:ascii="Arial" w:hAnsi="Arial" w:cs="Arial"/>
          <w:sz w:val="22"/>
          <w:szCs w:val="22"/>
        </w:rPr>
        <w:t xml:space="preserve">training should </w:t>
      </w:r>
      <w:r w:rsidR="0053307E">
        <w:rPr>
          <w:rFonts w:ascii="Arial" w:hAnsi="Arial" w:cs="Arial"/>
          <w:sz w:val="22"/>
          <w:szCs w:val="22"/>
        </w:rPr>
        <w:t>apply only where these duties are part of the operator’s actual work, rather</w:t>
      </w:r>
      <w:r w:rsidR="008B0236">
        <w:rPr>
          <w:rFonts w:ascii="Arial" w:hAnsi="Arial" w:cs="Arial"/>
          <w:sz w:val="22"/>
          <w:szCs w:val="22"/>
        </w:rPr>
        <w:t xml:space="preserve"> than creating an expectation of ongoing </w:t>
      </w:r>
      <w:r w:rsidR="00E86EC7">
        <w:rPr>
          <w:rFonts w:ascii="Arial" w:hAnsi="Arial" w:cs="Arial"/>
          <w:sz w:val="22"/>
          <w:szCs w:val="22"/>
        </w:rPr>
        <w:t>competency retention</w:t>
      </w:r>
      <w:r w:rsidR="008B0236">
        <w:rPr>
          <w:rFonts w:ascii="Arial" w:hAnsi="Arial" w:cs="Arial"/>
          <w:sz w:val="22"/>
          <w:szCs w:val="22"/>
        </w:rPr>
        <w:t xml:space="preserve"> </w:t>
      </w:r>
      <w:r w:rsidR="00E86EC7">
        <w:rPr>
          <w:rFonts w:ascii="Arial" w:hAnsi="Arial" w:cs="Arial"/>
          <w:sz w:val="22"/>
          <w:szCs w:val="22"/>
        </w:rPr>
        <w:t xml:space="preserve">or refresher training </w:t>
      </w:r>
      <w:r w:rsidR="008B0236">
        <w:rPr>
          <w:rFonts w:ascii="Arial" w:hAnsi="Arial" w:cs="Arial"/>
          <w:sz w:val="22"/>
          <w:szCs w:val="22"/>
        </w:rPr>
        <w:t>for all crane operators.</w:t>
      </w:r>
    </w:p>
    <w:tbl>
      <w:tblPr>
        <w:tblStyle w:val="TableGrid"/>
        <w:tblW w:w="0" w:type="auto"/>
        <w:tblLook w:val="04A0" w:firstRow="1" w:lastRow="0" w:firstColumn="1" w:lastColumn="0" w:noHBand="0" w:noVBand="1"/>
      </w:tblPr>
      <w:tblGrid>
        <w:gridCol w:w="9016"/>
      </w:tblGrid>
      <w:tr w:rsidR="00162302" w:rsidRPr="00D4728B" w14:paraId="2CEDC5F1" w14:textId="77777777" w:rsidTr="00EF1CEA">
        <w:tc>
          <w:tcPr>
            <w:tcW w:w="9016" w:type="dxa"/>
            <w:tcBorders>
              <w:bottom w:val="single" w:sz="4" w:space="0" w:color="auto"/>
            </w:tcBorders>
            <w:shd w:val="clear" w:color="auto" w:fill="D5B8EA"/>
          </w:tcPr>
          <w:p w14:paraId="7892A5C1" w14:textId="77777777" w:rsidR="00162302" w:rsidRPr="00D16888" w:rsidRDefault="00162302" w:rsidP="00EF1CEA">
            <w:pPr>
              <w:spacing w:before="60" w:after="60" w:line="259" w:lineRule="auto"/>
              <w:rPr>
                <w:rFonts w:cstheme="minorHAnsi"/>
                <w:b/>
                <w:bCs/>
                <w:color w:val="000000" w:themeColor="text1"/>
                <w:sz w:val="28"/>
                <w:szCs w:val="28"/>
              </w:rPr>
            </w:pPr>
            <w:bookmarkStart w:id="56" w:name="_Toc166574380"/>
            <w:r w:rsidRPr="00D16888">
              <w:rPr>
                <w:rFonts w:cstheme="minorHAnsi"/>
                <w:b/>
                <w:bCs/>
                <w:color w:val="000000" w:themeColor="text1"/>
                <w:sz w:val="28"/>
                <w:szCs w:val="28"/>
              </w:rPr>
              <w:t>Discussion questions</w:t>
            </w:r>
            <w:bookmarkEnd w:id="56"/>
            <w:r w:rsidRPr="00D16888">
              <w:rPr>
                <w:rFonts w:cstheme="minorHAnsi"/>
                <w:b/>
                <w:bCs/>
                <w:color w:val="000000" w:themeColor="text1"/>
                <w:sz w:val="28"/>
                <w:szCs w:val="28"/>
              </w:rPr>
              <w:t xml:space="preserve"> </w:t>
            </w:r>
          </w:p>
        </w:tc>
      </w:tr>
      <w:tr w:rsidR="00162302" w:rsidRPr="00D4728B" w14:paraId="22EF027B" w14:textId="77777777" w:rsidTr="00EF1CEA">
        <w:tc>
          <w:tcPr>
            <w:tcW w:w="9016" w:type="dxa"/>
            <w:shd w:val="clear" w:color="auto" w:fill="EADBF5"/>
          </w:tcPr>
          <w:p w14:paraId="38CF6686" w14:textId="77777777" w:rsidR="00162302" w:rsidRPr="009C036E" w:rsidRDefault="00162302" w:rsidP="00EF1CEA">
            <w:pPr>
              <w:spacing w:before="120" w:after="60" w:line="259" w:lineRule="auto"/>
              <w:rPr>
                <w:rFonts w:cstheme="minorHAnsi"/>
                <w:sz w:val="22"/>
                <w:szCs w:val="22"/>
                <w:u w:val="single"/>
              </w:rPr>
            </w:pPr>
            <w:bookmarkStart w:id="57" w:name="_Hlk208575654"/>
            <w:r>
              <w:rPr>
                <w:rFonts w:cstheme="minorHAnsi"/>
                <w:sz w:val="22"/>
                <w:szCs w:val="22"/>
                <w:u w:val="single"/>
              </w:rPr>
              <w:t>Support and implementation</w:t>
            </w:r>
          </w:p>
          <w:p w14:paraId="3EC706F6" w14:textId="77777777" w:rsidR="00F36205" w:rsidRPr="00EC1CC6" w:rsidRDefault="00F36205" w:rsidP="00A6749E">
            <w:pPr>
              <w:pStyle w:val="ListParagraph"/>
              <w:numPr>
                <w:ilvl w:val="0"/>
                <w:numId w:val="17"/>
              </w:numPr>
              <w:spacing w:before="60" w:after="40" w:line="259" w:lineRule="auto"/>
              <w:ind w:left="357" w:hanging="357"/>
              <w:contextualSpacing w:val="0"/>
              <w:rPr>
                <w:rFonts w:cstheme="minorHAnsi"/>
                <w:sz w:val="22"/>
                <w:szCs w:val="22"/>
              </w:rPr>
            </w:pPr>
            <w:r w:rsidRPr="00F36205">
              <w:rPr>
                <w:rFonts w:cstheme="minorHAnsi"/>
                <w:b/>
                <w:bCs/>
                <w:sz w:val="22"/>
                <w:szCs w:val="22"/>
              </w:rPr>
              <w:t>Do you support Option 2 – introducing a targeted maritime</w:t>
            </w:r>
            <w:r w:rsidRPr="00F36205">
              <w:rPr>
                <w:rFonts w:cstheme="minorHAnsi"/>
                <w:b/>
                <w:bCs/>
                <w:sz w:val="22"/>
                <w:szCs w:val="22"/>
              </w:rPr>
              <w:noBreakHyphen/>
              <w:t>specific training requirement for crane operators who undertake lifting operations on or over water?</w:t>
            </w:r>
            <w:r w:rsidRPr="00F36205">
              <w:rPr>
                <w:rFonts w:cstheme="minorHAnsi"/>
                <w:b/>
                <w:bCs/>
                <w:sz w:val="22"/>
                <w:szCs w:val="22"/>
              </w:rPr>
              <w:br/>
            </w:r>
            <w:r w:rsidRPr="00EC1CC6">
              <w:rPr>
                <w:rFonts w:cstheme="minorHAnsi"/>
                <w:sz w:val="22"/>
                <w:szCs w:val="22"/>
              </w:rPr>
              <w:t>Please explain your position and provide evidence where possible.</w:t>
            </w:r>
          </w:p>
          <w:p w14:paraId="7462DFBC" w14:textId="13E4BB9C" w:rsidR="00F36205" w:rsidRPr="00F36205" w:rsidRDefault="00F36205" w:rsidP="00A6749E">
            <w:pPr>
              <w:pStyle w:val="ListParagraph"/>
              <w:numPr>
                <w:ilvl w:val="0"/>
                <w:numId w:val="17"/>
              </w:numPr>
              <w:spacing w:before="60" w:after="40" w:line="259" w:lineRule="auto"/>
              <w:ind w:left="357" w:hanging="357"/>
              <w:contextualSpacing w:val="0"/>
              <w:rPr>
                <w:rFonts w:cstheme="minorHAnsi"/>
                <w:b/>
                <w:bCs/>
                <w:sz w:val="22"/>
                <w:szCs w:val="22"/>
              </w:rPr>
            </w:pPr>
            <w:r w:rsidRPr="00F36205">
              <w:rPr>
                <w:rFonts w:cstheme="minorHAnsi"/>
                <w:b/>
                <w:bCs/>
                <w:sz w:val="22"/>
                <w:szCs w:val="22"/>
              </w:rPr>
              <w:t xml:space="preserve">What impact would this targeted </w:t>
            </w:r>
            <w:r w:rsidR="00EF440B">
              <w:rPr>
                <w:rFonts w:cstheme="minorHAnsi"/>
                <w:b/>
                <w:bCs/>
                <w:sz w:val="22"/>
                <w:szCs w:val="22"/>
              </w:rPr>
              <w:t xml:space="preserve">training </w:t>
            </w:r>
            <w:r w:rsidRPr="00F36205">
              <w:rPr>
                <w:rFonts w:cstheme="minorHAnsi"/>
                <w:b/>
                <w:bCs/>
                <w:sz w:val="22"/>
                <w:szCs w:val="22"/>
              </w:rPr>
              <w:t>approach have for you or your organisation?</w:t>
            </w:r>
            <w:r w:rsidRPr="00F36205">
              <w:rPr>
                <w:rFonts w:cstheme="minorHAnsi"/>
                <w:b/>
                <w:bCs/>
                <w:sz w:val="22"/>
                <w:szCs w:val="22"/>
              </w:rPr>
              <w:br/>
            </w:r>
            <w:r w:rsidRPr="00EC1CC6">
              <w:rPr>
                <w:rFonts w:cstheme="minorHAnsi"/>
                <w:sz w:val="22"/>
                <w:szCs w:val="22"/>
              </w:rPr>
              <w:t>Consider safety outcomes, WHS improvements, business costs, workforce implications, and any other significant effects.</w:t>
            </w:r>
          </w:p>
          <w:p w14:paraId="102E1D5F" w14:textId="32A8B4B9" w:rsidR="00F36205" w:rsidRPr="00F36205" w:rsidRDefault="00F36205" w:rsidP="00A6749E">
            <w:pPr>
              <w:pStyle w:val="ListParagraph"/>
              <w:numPr>
                <w:ilvl w:val="0"/>
                <w:numId w:val="17"/>
              </w:numPr>
              <w:spacing w:before="60" w:after="40" w:line="259" w:lineRule="auto"/>
              <w:ind w:left="357" w:hanging="357"/>
              <w:contextualSpacing w:val="0"/>
              <w:rPr>
                <w:rFonts w:cstheme="minorHAnsi"/>
                <w:b/>
                <w:bCs/>
                <w:sz w:val="22"/>
                <w:szCs w:val="22"/>
              </w:rPr>
            </w:pPr>
            <w:r w:rsidRPr="00F36205">
              <w:rPr>
                <w:rFonts w:cstheme="minorHAnsi"/>
                <w:b/>
                <w:bCs/>
                <w:sz w:val="22"/>
                <w:szCs w:val="22"/>
              </w:rPr>
              <w:t>Is the proposed scope appropriate — i.e. applying the requirement only to crane HRW</w:t>
            </w:r>
            <w:r w:rsidR="006018AB">
              <w:rPr>
                <w:rFonts w:cstheme="minorHAnsi"/>
                <w:b/>
                <w:bCs/>
                <w:sz w:val="22"/>
                <w:szCs w:val="22"/>
              </w:rPr>
              <w:t xml:space="preserve"> licence</w:t>
            </w:r>
            <w:r w:rsidRPr="00F36205">
              <w:rPr>
                <w:rFonts w:cstheme="minorHAnsi"/>
                <w:b/>
                <w:bCs/>
                <w:sz w:val="22"/>
                <w:szCs w:val="22"/>
              </w:rPr>
              <w:t xml:space="preserve"> holders who perform, or are reasonably expected to perform, lifting operations on or over water?</w:t>
            </w:r>
            <w:r w:rsidRPr="00F36205">
              <w:rPr>
                <w:rFonts w:cstheme="minorHAnsi"/>
                <w:b/>
                <w:bCs/>
                <w:sz w:val="22"/>
                <w:szCs w:val="22"/>
              </w:rPr>
              <w:br/>
            </w:r>
            <w:r w:rsidRPr="00EC1CC6">
              <w:rPr>
                <w:rFonts w:cstheme="minorHAnsi"/>
                <w:sz w:val="22"/>
                <w:szCs w:val="22"/>
              </w:rPr>
              <w:t>If not, how should the scope be adjusted?</w:t>
            </w:r>
          </w:p>
          <w:p w14:paraId="5429728B" w14:textId="08504FB6" w:rsidR="00F36205" w:rsidRPr="00A6749E" w:rsidRDefault="00F36205" w:rsidP="00A6749E">
            <w:pPr>
              <w:pStyle w:val="ListParagraph"/>
              <w:numPr>
                <w:ilvl w:val="0"/>
                <w:numId w:val="17"/>
              </w:numPr>
              <w:spacing w:before="60" w:after="40" w:line="259" w:lineRule="auto"/>
              <w:ind w:left="357" w:hanging="357"/>
              <w:contextualSpacing w:val="0"/>
              <w:rPr>
                <w:rFonts w:cstheme="minorHAnsi"/>
                <w:sz w:val="22"/>
                <w:szCs w:val="22"/>
              </w:rPr>
            </w:pPr>
            <w:r w:rsidRPr="00F36205">
              <w:rPr>
                <w:rFonts w:cstheme="minorHAnsi"/>
                <w:b/>
                <w:bCs/>
                <w:sz w:val="22"/>
                <w:szCs w:val="22"/>
              </w:rPr>
              <w:t>Do you support using a permit</w:t>
            </w:r>
            <w:r w:rsidRPr="00F36205">
              <w:rPr>
                <w:rFonts w:cstheme="minorHAnsi"/>
                <w:b/>
                <w:bCs/>
                <w:sz w:val="22"/>
                <w:szCs w:val="22"/>
              </w:rPr>
              <w:noBreakHyphen/>
              <w:t>type authorisation (issued in addition to the crane HRW</w:t>
            </w:r>
            <w:r w:rsidR="006018AB">
              <w:rPr>
                <w:rFonts w:cstheme="minorHAnsi"/>
                <w:b/>
                <w:bCs/>
                <w:sz w:val="22"/>
                <w:szCs w:val="22"/>
              </w:rPr>
              <w:t xml:space="preserve"> licence</w:t>
            </w:r>
            <w:r w:rsidRPr="00F36205">
              <w:rPr>
                <w:rFonts w:cstheme="minorHAnsi"/>
                <w:b/>
                <w:bCs/>
                <w:sz w:val="22"/>
                <w:szCs w:val="22"/>
              </w:rPr>
              <w:t>) to confirm completion of maritime</w:t>
            </w:r>
            <w:r w:rsidRPr="00F36205">
              <w:rPr>
                <w:rFonts w:cstheme="minorHAnsi"/>
                <w:b/>
                <w:bCs/>
                <w:sz w:val="22"/>
                <w:szCs w:val="22"/>
              </w:rPr>
              <w:noBreakHyphen/>
              <w:t>specific training for operators performing lifting on or over water?</w:t>
            </w:r>
            <w:r w:rsidRPr="00F36205">
              <w:rPr>
                <w:rFonts w:cstheme="minorHAnsi"/>
                <w:b/>
                <w:bCs/>
                <w:sz w:val="22"/>
                <w:szCs w:val="22"/>
              </w:rPr>
              <w:br/>
            </w:r>
            <w:r w:rsidRPr="00A6749E">
              <w:rPr>
                <w:rFonts w:cstheme="minorHAnsi"/>
                <w:sz w:val="22"/>
                <w:szCs w:val="22"/>
              </w:rPr>
              <w:t>If not, what alternative mechanism should be considered?</w:t>
            </w:r>
          </w:p>
          <w:p w14:paraId="551C1EB4" w14:textId="77777777" w:rsidR="00F36205" w:rsidRPr="008065AF" w:rsidRDefault="00F36205" w:rsidP="008065AF">
            <w:pPr>
              <w:spacing w:before="60" w:after="40" w:line="259" w:lineRule="auto"/>
              <w:rPr>
                <w:rFonts w:cstheme="minorHAnsi"/>
                <w:sz w:val="22"/>
                <w:szCs w:val="22"/>
              </w:rPr>
            </w:pPr>
            <w:r w:rsidRPr="008065AF">
              <w:rPr>
                <w:rFonts w:cstheme="minorHAnsi"/>
                <w:sz w:val="22"/>
                <w:szCs w:val="22"/>
              </w:rPr>
              <w:t>Training and assessment</w:t>
            </w:r>
          </w:p>
          <w:p w14:paraId="32D2C1EC" w14:textId="1846C0BB" w:rsidR="00F36205" w:rsidRPr="00F36205" w:rsidRDefault="008065AF" w:rsidP="00A6749E">
            <w:pPr>
              <w:pStyle w:val="ListParagraph"/>
              <w:numPr>
                <w:ilvl w:val="0"/>
                <w:numId w:val="17"/>
              </w:numPr>
              <w:spacing w:before="60" w:after="40" w:line="259" w:lineRule="auto"/>
              <w:ind w:left="357" w:hanging="357"/>
              <w:contextualSpacing w:val="0"/>
              <w:rPr>
                <w:rFonts w:cstheme="minorHAnsi"/>
                <w:b/>
                <w:bCs/>
                <w:sz w:val="22"/>
                <w:szCs w:val="22"/>
              </w:rPr>
            </w:pPr>
            <w:r>
              <w:rPr>
                <w:rFonts w:cstheme="minorHAnsi"/>
                <w:b/>
                <w:bCs/>
                <w:sz w:val="22"/>
                <w:szCs w:val="22"/>
              </w:rPr>
              <w:t>Wh</w:t>
            </w:r>
            <w:r w:rsidR="00F36205" w:rsidRPr="00F36205">
              <w:rPr>
                <w:rFonts w:cstheme="minorHAnsi"/>
                <w:b/>
                <w:bCs/>
                <w:sz w:val="22"/>
                <w:szCs w:val="22"/>
              </w:rPr>
              <w:t>at considerations or challenges might arise in developing and maintaining a maritime</w:t>
            </w:r>
            <w:r w:rsidR="00F36205" w:rsidRPr="00F36205">
              <w:rPr>
                <w:rFonts w:cstheme="minorHAnsi"/>
                <w:b/>
                <w:bCs/>
                <w:sz w:val="22"/>
                <w:szCs w:val="22"/>
              </w:rPr>
              <w:noBreakHyphen/>
              <w:t xml:space="preserve">specific crane training course focused on the </w:t>
            </w:r>
            <w:r w:rsidR="00C77820">
              <w:rPr>
                <w:rFonts w:cstheme="minorHAnsi"/>
                <w:b/>
                <w:bCs/>
                <w:sz w:val="22"/>
                <w:szCs w:val="22"/>
              </w:rPr>
              <w:t>risks</w:t>
            </w:r>
            <w:r w:rsidR="00F36205" w:rsidRPr="00F36205">
              <w:rPr>
                <w:rFonts w:cstheme="minorHAnsi"/>
                <w:b/>
                <w:bCs/>
                <w:sz w:val="22"/>
                <w:szCs w:val="22"/>
              </w:rPr>
              <w:t xml:space="preserve"> associated with </w:t>
            </w:r>
            <w:r w:rsidR="00EF440B">
              <w:rPr>
                <w:rFonts w:cstheme="minorHAnsi"/>
                <w:b/>
                <w:bCs/>
                <w:sz w:val="22"/>
                <w:szCs w:val="22"/>
              </w:rPr>
              <w:lastRenderedPageBreak/>
              <w:t>lifting operations</w:t>
            </w:r>
            <w:r w:rsidR="00F36205" w:rsidRPr="00F36205">
              <w:rPr>
                <w:rFonts w:cstheme="minorHAnsi"/>
                <w:b/>
                <w:bCs/>
                <w:sz w:val="22"/>
                <w:szCs w:val="22"/>
              </w:rPr>
              <w:t xml:space="preserve"> on or over water?</w:t>
            </w:r>
            <w:r w:rsidR="00F36205" w:rsidRPr="00F36205">
              <w:rPr>
                <w:rFonts w:cstheme="minorHAnsi"/>
                <w:b/>
                <w:bCs/>
                <w:sz w:val="22"/>
                <w:szCs w:val="22"/>
              </w:rPr>
              <w:br/>
            </w:r>
            <w:r w:rsidR="00F36205" w:rsidRPr="00950B99">
              <w:rPr>
                <w:rFonts w:cstheme="minorHAnsi"/>
                <w:sz w:val="22"/>
                <w:szCs w:val="22"/>
              </w:rPr>
              <w:t xml:space="preserve">Are </w:t>
            </w:r>
            <w:proofErr w:type="gramStart"/>
            <w:r w:rsidR="00F36205" w:rsidRPr="00950B99">
              <w:rPr>
                <w:rFonts w:cstheme="minorHAnsi"/>
                <w:sz w:val="22"/>
                <w:szCs w:val="22"/>
              </w:rPr>
              <w:t>there</w:t>
            </w:r>
            <w:proofErr w:type="gramEnd"/>
            <w:r w:rsidR="00F36205" w:rsidRPr="00950B99">
              <w:rPr>
                <w:rFonts w:cstheme="minorHAnsi"/>
                <w:sz w:val="22"/>
                <w:szCs w:val="22"/>
              </w:rPr>
              <w:t xml:space="preserve"> specific considerations for Jobs and Skills Councils or training providers?</w:t>
            </w:r>
          </w:p>
          <w:p w14:paraId="3C65A81C" w14:textId="77777777" w:rsidR="00162302" w:rsidRPr="005D5DA1" w:rsidRDefault="00162302" w:rsidP="00EF1CEA">
            <w:pPr>
              <w:spacing w:before="60" w:line="259" w:lineRule="auto"/>
              <w:rPr>
                <w:rFonts w:cstheme="minorHAnsi"/>
              </w:rPr>
            </w:pPr>
          </w:p>
        </w:tc>
      </w:tr>
    </w:tbl>
    <w:p w14:paraId="5F4449EA" w14:textId="06D4D25B" w:rsidR="00D24467" w:rsidRDefault="00D24467" w:rsidP="00821E87">
      <w:pPr>
        <w:pStyle w:val="Heading2"/>
        <w:spacing w:before="360" w:after="120"/>
        <w:rPr>
          <w:rFonts w:ascii="Arial" w:eastAsiaTheme="minorHAnsi" w:hAnsi="Arial" w:cs="Arial"/>
          <w:b/>
          <w:i/>
          <w:iCs/>
          <w:color w:val="6E2F9D"/>
        </w:rPr>
      </w:pPr>
      <w:bookmarkStart w:id="58" w:name="_Toc221540322"/>
      <w:bookmarkEnd w:id="57"/>
      <w:r w:rsidRPr="00751DFF">
        <w:rPr>
          <w:rFonts w:ascii="Arial" w:eastAsiaTheme="minorHAnsi" w:hAnsi="Arial" w:cs="Arial"/>
          <w:b/>
          <w:i/>
          <w:iCs/>
          <w:color w:val="6E2F9D"/>
        </w:rPr>
        <w:lastRenderedPageBreak/>
        <w:t xml:space="preserve">Option </w:t>
      </w:r>
      <w:r w:rsidR="00162302">
        <w:rPr>
          <w:rFonts w:ascii="Arial" w:eastAsiaTheme="minorHAnsi" w:hAnsi="Arial" w:cs="Arial"/>
          <w:b/>
          <w:i/>
          <w:iCs/>
          <w:color w:val="6E2F9D"/>
        </w:rPr>
        <w:t>3</w:t>
      </w:r>
      <w:r w:rsidRPr="00751DFF">
        <w:rPr>
          <w:rFonts w:ascii="Arial" w:eastAsiaTheme="minorHAnsi" w:hAnsi="Arial" w:cs="Arial"/>
          <w:b/>
          <w:i/>
          <w:iCs/>
          <w:color w:val="6E2F9D"/>
        </w:rPr>
        <w:t xml:space="preserve"> – Introduce a new </w:t>
      </w:r>
      <w:r>
        <w:rPr>
          <w:rFonts w:ascii="Arial" w:eastAsiaTheme="minorHAnsi" w:hAnsi="Arial" w:cs="Arial"/>
          <w:b/>
          <w:i/>
          <w:iCs/>
          <w:color w:val="6E2F9D"/>
        </w:rPr>
        <w:t>c</w:t>
      </w:r>
      <w:r w:rsidRPr="00751DFF">
        <w:rPr>
          <w:rFonts w:ascii="Arial" w:eastAsiaTheme="minorHAnsi" w:hAnsi="Arial" w:cs="Arial"/>
          <w:b/>
          <w:i/>
          <w:iCs/>
          <w:color w:val="6E2F9D"/>
        </w:rPr>
        <w:t xml:space="preserve">lass </w:t>
      </w:r>
      <w:r>
        <w:rPr>
          <w:rFonts w:ascii="Arial" w:eastAsiaTheme="minorHAnsi" w:hAnsi="Arial" w:cs="Arial"/>
          <w:b/>
          <w:i/>
          <w:iCs/>
          <w:color w:val="6E2F9D"/>
        </w:rPr>
        <w:t xml:space="preserve">of HRW </w:t>
      </w:r>
      <w:r w:rsidRPr="00751DFF">
        <w:rPr>
          <w:rFonts w:ascii="Arial" w:eastAsiaTheme="minorHAnsi" w:hAnsi="Arial" w:cs="Arial"/>
          <w:b/>
          <w:i/>
          <w:iCs/>
          <w:color w:val="6E2F9D"/>
        </w:rPr>
        <w:t xml:space="preserve">for </w:t>
      </w:r>
      <w:r w:rsidR="00480000">
        <w:rPr>
          <w:rFonts w:ascii="Arial" w:eastAsiaTheme="minorHAnsi" w:hAnsi="Arial" w:cs="Arial"/>
          <w:b/>
          <w:i/>
          <w:iCs/>
          <w:color w:val="6E2F9D"/>
        </w:rPr>
        <w:t>maritime crane operations.</w:t>
      </w:r>
      <w:bookmarkEnd w:id="58"/>
      <w:r>
        <w:rPr>
          <w:rFonts w:ascii="Arial" w:eastAsiaTheme="minorHAnsi" w:hAnsi="Arial" w:cs="Arial"/>
          <w:b/>
          <w:i/>
          <w:iCs/>
          <w:color w:val="6E2F9D"/>
        </w:rPr>
        <w:t xml:space="preserve"> </w:t>
      </w:r>
    </w:p>
    <w:p w14:paraId="14162EA8" w14:textId="31394F21" w:rsidR="00541C75" w:rsidRPr="00541C75" w:rsidRDefault="00541C75" w:rsidP="00541C75">
      <w:pPr>
        <w:rPr>
          <w:rFonts w:cstheme="minorHAnsi"/>
          <w:sz w:val="22"/>
          <w:szCs w:val="22"/>
        </w:rPr>
      </w:pPr>
      <w:r w:rsidRPr="00541C75">
        <w:rPr>
          <w:rFonts w:cstheme="minorHAnsi"/>
          <w:sz w:val="22"/>
          <w:szCs w:val="22"/>
        </w:rPr>
        <w:t>In addition to proposed amendments to the model WHS Regulations to clarify that a HRW licence is required for operating cranes mounted on vessels, Safe Work Australia Members agreed to explore the introduction of a maritime-specific HRW class</w:t>
      </w:r>
      <w:r w:rsidR="002250DF">
        <w:rPr>
          <w:rFonts w:cstheme="minorHAnsi"/>
          <w:sz w:val="22"/>
          <w:szCs w:val="22"/>
        </w:rPr>
        <w:t xml:space="preserve"> for crane operation</w:t>
      </w:r>
      <w:r w:rsidRPr="00541C75">
        <w:rPr>
          <w:rFonts w:cstheme="minorHAnsi"/>
          <w:sz w:val="22"/>
          <w:szCs w:val="22"/>
        </w:rPr>
        <w:t>. This responds to stakeholder feedback highlighting the unique operational risks associated with crane use in maritime environments.</w:t>
      </w:r>
    </w:p>
    <w:p w14:paraId="03EFC40A" w14:textId="6433A57A" w:rsidR="00B12BA9" w:rsidRPr="005B6249" w:rsidRDefault="00B12BA9" w:rsidP="00B12BA9">
      <w:pPr>
        <w:spacing w:before="120" w:after="40"/>
        <w:rPr>
          <w:rFonts w:cstheme="minorHAnsi"/>
          <w:i/>
          <w:iCs/>
          <w:sz w:val="22"/>
          <w:szCs w:val="22"/>
        </w:rPr>
      </w:pPr>
      <w:r w:rsidRPr="005B6249">
        <w:rPr>
          <w:rFonts w:cstheme="minorHAnsi"/>
          <w:i/>
          <w:iCs/>
          <w:sz w:val="22"/>
          <w:szCs w:val="22"/>
        </w:rPr>
        <w:t xml:space="preserve">Licensing and </w:t>
      </w:r>
      <w:r w:rsidR="004A48C8">
        <w:rPr>
          <w:rFonts w:cstheme="minorHAnsi"/>
          <w:i/>
          <w:iCs/>
          <w:sz w:val="22"/>
          <w:szCs w:val="22"/>
        </w:rPr>
        <w:t>c</w:t>
      </w:r>
      <w:r w:rsidR="004A48C8" w:rsidRPr="005B6249">
        <w:rPr>
          <w:rFonts w:cstheme="minorHAnsi"/>
          <w:i/>
          <w:iCs/>
          <w:sz w:val="22"/>
          <w:szCs w:val="22"/>
        </w:rPr>
        <w:t xml:space="preserve">ompetency </w:t>
      </w:r>
      <w:r w:rsidR="004A48C8">
        <w:rPr>
          <w:rFonts w:cstheme="minorHAnsi"/>
          <w:i/>
          <w:iCs/>
          <w:sz w:val="22"/>
          <w:szCs w:val="22"/>
        </w:rPr>
        <w:t>g</w:t>
      </w:r>
      <w:r w:rsidR="004A48C8" w:rsidRPr="005B6249">
        <w:rPr>
          <w:rFonts w:cstheme="minorHAnsi"/>
          <w:i/>
          <w:iCs/>
          <w:sz w:val="22"/>
          <w:szCs w:val="22"/>
        </w:rPr>
        <w:t>aps</w:t>
      </w:r>
    </w:p>
    <w:p w14:paraId="57F6123C" w14:textId="70B409EC" w:rsidR="003903AC" w:rsidRPr="003903AC" w:rsidRDefault="003903AC" w:rsidP="003903AC">
      <w:pPr>
        <w:rPr>
          <w:rFonts w:cstheme="minorHAnsi"/>
          <w:sz w:val="22"/>
          <w:szCs w:val="22"/>
        </w:rPr>
      </w:pPr>
      <w:r w:rsidRPr="003903AC">
        <w:rPr>
          <w:rFonts w:cstheme="minorHAnsi"/>
          <w:sz w:val="22"/>
          <w:szCs w:val="22"/>
        </w:rPr>
        <w:t xml:space="preserve">Forthcoming amendments to the model WHS Regulations will clarify </w:t>
      </w:r>
      <w:r w:rsidR="004A48C8">
        <w:rPr>
          <w:rFonts w:cstheme="minorHAnsi"/>
          <w:sz w:val="22"/>
          <w:szCs w:val="22"/>
        </w:rPr>
        <w:t xml:space="preserve">that </w:t>
      </w:r>
      <w:r w:rsidRPr="003903AC">
        <w:rPr>
          <w:rFonts w:cstheme="minorHAnsi"/>
          <w:sz w:val="22"/>
          <w:szCs w:val="22"/>
        </w:rPr>
        <w:t xml:space="preserve">licensing requirements for </w:t>
      </w:r>
      <w:r w:rsidR="009202C1">
        <w:rPr>
          <w:rFonts w:cstheme="minorHAnsi"/>
          <w:sz w:val="22"/>
          <w:szCs w:val="22"/>
        </w:rPr>
        <w:t>existing HRW</w:t>
      </w:r>
      <w:r w:rsidR="009202C1" w:rsidRPr="003903AC">
        <w:rPr>
          <w:rFonts w:cstheme="minorHAnsi"/>
          <w:sz w:val="22"/>
          <w:szCs w:val="22"/>
        </w:rPr>
        <w:t xml:space="preserve"> </w:t>
      </w:r>
      <w:r w:rsidRPr="003903AC">
        <w:rPr>
          <w:rFonts w:cstheme="minorHAnsi"/>
          <w:sz w:val="22"/>
          <w:szCs w:val="22"/>
        </w:rPr>
        <w:t xml:space="preserve">crane </w:t>
      </w:r>
      <w:r w:rsidR="009202C1">
        <w:rPr>
          <w:rFonts w:cstheme="minorHAnsi"/>
          <w:sz w:val="22"/>
          <w:szCs w:val="22"/>
        </w:rPr>
        <w:t>classes</w:t>
      </w:r>
      <w:r w:rsidR="004A48C8">
        <w:rPr>
          <w:rFonts w:cstheme="minorHAnsi"/>
          <w:sz w:val="22"/>
          <w:szCs w:val="22"/>
        </w:rPr>
        <w:t xml:space="preserve"> apply</w:t>
      </w:r>
      <w:r w:rsidR="009202C1">
        <w:rPr>
          <w:rFonts w:cstheme="minorHAnsi"/>
          <w:sz w:val="22"/>
          <w:szCs w:val="22"/>
        </w:rPr>
        <w:t xml:space="preserve"> when used</w:t>
      </w:r>
      <w:r w:rsidRPr="003903AC">
        <w:rPr>
          <w:rFonts w:cstheme="minorHAnsi"/>
          <w:sz w:val="22"/>
          <w:szCs w:val="22"/>
        </w:rPr>
        <w:t xml:space="preserve"> in maritime contexts. However, these changes will not cover all crane types </w:t>
      </w:r>
      <w:r w:rsidR="004A48C8">
        <w:rPr>
          <w:rFonts w:cstheme="minorHAnsi"/>
          <w:sz w:val="22"/>
          <w:szCs w:val="22"/>
        </w:rPr>
        <w:t>used in maritime environments</w:t>
      </w:r>
      <w:r w:rsidRPr="003903AC">
        <w:rPr>
          <w:rFonts w:cstheme="minorHAnsi"/>
          <w:sz w:val="22"/>
          <w:szCs w:val="22"/>
        </w:rPr>
        <w:t xml:space="preserve">, nor do current training and assessment frameworks adequately address the challenges of </w:t>
      </w:r>
      <w:r w:rsidR="009010DD">
        <w:rPr>
          <w:rFonts w:cstheme="minorHAnsi"/>
          <w:sz w:val="22"/>
          <w:szCs w:val="22"/>
        </w:rPr>
        <w:t xml:space="preserve">the </w:t>
      </w:r>
      <w:r w:rsidR="004A48C8">
        <w:rPr>
          <w:rFonts w:cstheme="minorHAnsi"/>
          <w:sz w:val="22"/>
          <w:szCs w:val="22"/>
        </w:rPr>
        <w:t xml:space="preserve">dynamic </w:t>
      </w:r>
      <w:r w:rsidR="00FC7478" w:rsidRPr="003903AC">
        <w:rPr>
          <w:rFonts w:cstheme="minorHAnsi"/>
          <w:sz w:val="22"/>
          <w:szCs w:val="22"/>
        </w:rPr>
        <w:t>operati</w:t>
      </w:r>
      <w:r w:rsidR="00FC7478">
        <w:rPr>
          <w:rFonts w:cstheme="minorHAnsi"/>
          <w:sz w:val="22"/>
          <w:szCs w:val="22"/>
        </w:rPr>
        <w:t>ng</w:t>
      </w:r>
      <w:r w:rsidR="00E27615">
        <w:rPr>
          <w:rFonts w:cstheme="minorHAnsi"/>
          <w:sz w:val="22"/>
          <w:szCs w:val="22"/>
        </w:rPr>
        <w:t xml:space="preserve"> conditions associated with</w:t>
      </w:r>
      <w:r w:rsidR="00FC7478">
        <w:rPr>
          <w:rFonts w:cstheme="minorHAnsi"/>
          <w:sz w:val="22"/>
          <w:szCs w:val="22"/>
        </w:rPr>
        <w:t xml:space="preserve"> </w:t>
      </w:r>
      <w:r w:rsidR="00E27615">
        <w:rPr>
          <w:rFonts w:cstheme="minorHAnsi"/>
          <w:sz w:val="22"/>
          <w:szCs w:val="22"/>
        </w:rPr>
        <w:t>crane use</w:t>
      </w:r>
      <w:r w:rsidR="00E27615" w:rsidRPr="003903AC">
        <w:rPr>
          <w:rFonts w:cstheme="minorHAnsi"/>
          <w:sz w:val="22"/>
          <w:szCs w:val="22"/>
        </w:rPr>
        <w:t xml:space="preserve"> </w:t>
      </w:r>
      <w:r w:rsidRPr="003903AC">
        <w:rPr>
          <w:rFonts w:cstheme="minorHAnsi"/>
          <w:sz w:val="22"/>
          <w:szCs w:val="22"/>
        </w:rPr>
        <w:t xml:space="preserve">in </w:t>
      </w:r>
      <w:r w:rsidR="004A48C8">
        <w:rPr>
          <w:rFonts w:cstheme="minorHAnsi"/>
          <w:sz w:val="22"/>
          <w:szCs w:val="22"/>
        </w:rPr>
        <w:t xml:space="preserve">these </w:t>
      </w:r>
      <w:r w:rsidRPr="003903AC">
        <w:rPr>
          <w:rFonts w:cstheme="minorHAnsi"/>
          <w:sz w:val="22"/>
          <w:szCs w:val="22"/>
        </w:rPr>
        <w:t>environments.</w:t>
      </w:r>
    </w:p>
    <w:p w14:paraId="756EA366" w14:textId="20F93136" w:rsidR="00B12BA9" w:rsidRPr="005B6249" w:rsidRDefault="00B12BA9" w:rsidP="00B12BA9">
      <w:pPr>
        <w:rPr>
          <w:rFonts w:cstheme="minorHAnsi"/>
          <w:sz w:val="22"/>
          <w:szCs w:val="22"/>
        </w:rPr>
      </w:pPr>
      <w:r w:rsidRPr="005B6249">
        <w:rPr>
          <w:rFonts w:cstheme="minorHAnsi"/>
          <w:sz w:val="22"/>
          <w:szCs w:val="22"/>
        </w:rPr>
        <w:t>This situation highlights two key issues:</w:t>
      </w:r>
    </w:p>
    <w:p w14:paraId="6D7835CF" w14:textId="77777777" w:rsidR="00880E41" w:rsidRDefault="00880E41" w:rsidP="00B12BA9">
      <w:pPr>
        <w:numPr>
          <w:ilvl w:val="0"/>
          <w:numId w:val="27"/>
        </w:numPr>
        <w:rPr>
          <w:rFonts w:cstheme="minorHAnsi"/>
          <w:sz w:val="22"/>
          <w:szCs w:val="22"/>
        </w:rPr>
      </w:pPr>
      <w:r w:rsidRPr="005B6249">
        <w:rPr>
          <w:rFonts w:cstheme="minorHAnsi"/>
          <w:sz w:val="22"/>
          <w:szCs w:val="22"/>
        </w:rPr>
        <w:t xml:space="preserve">A </w:t>
      </w:r>
      <w:r w:rsidRPr="00D3651C">
        <w:rPr>
          <w:rFonts w:cstheme="minorHAnsi"/>
          <w:b/>
          <w:bCs/>
          <w:sz w:val="22"/>
          <w:szCs w:val="22"/>
        </w:rPr>
        <w:t>licensing gap</w:t>
      </w:r>
      <w:r w:rsidRPr="005B6249">
        <w:rPr>
          <w:rFonts w:cstheme="minorHAnsi"/>
          <w:sz w:val="22"/>
          <w:szCs w:val="22"/>
        </w:rPr>
        <w:t xml:space="preserve"> for crane types used </w:t>
      </w:r>
      <w:r>
        <w:rPr>
          <w:rFonts w:cstheme="minorHAnsi"/>
          <w:sz w:val="22"/>
          <w:szCs w:val="22"/>
        </w:rPr>
        <w:t xml:space="preserve">exclusively </w:t>
      </w:r>
      <w:r w:rsidRPr="005B6249">
        <w:rPr>
          <w:rFonts w:cstheme="minorHAnsi"/>
          <w:sz w:val="22"/>
          <w:szCs w:val="22"/>
        </w:rPr>
        <w:t xml:space="preserve">in maritime </w:t>
      </w:r>
      <w:r>
        <w:rPr>
          <w:rFonts w:cstheme="minorHAnsi"/>
          <w:sz w:val="22"/>
          <w:szCs w:val="22"/>
        </w:rPr>
        <w:t>workplaces</w:t>
      </w:r>
      <w:r w:rsidRPr="005B6249">
        <w:rPr>
          <w:rFonts w:cstheme="minorHAnsi"/>
          <w:sz w:val="22"/>
          <w:szCs w:val="22"/>
        </w:rPr>
        <w:t xml:space="preserve"> </w:t>
      </w:r>
    </w:p>
    <w:p w14:paraId="307F8128" w14:textId="3C499224" w:rsidR="00B12BA9" w:rsidRPr="005B6249" w:rsidRDefault="00B12BA9" w:rsidP="00B12BA9">
      <w:pPr>
        <w:numPr>
          <w:ilvl w:val="0"/>
          <w:numId w:val="27"/>
        </w:numPr>
        <w:rPr>
          <w:rFonts w:cstheme="minorHAnsi"/>
          <w:sz w:val="22"/>
          <w:szCs w:val="22"/>
        </w:rPr>
      </w:pPr>
      <w:r w:rsidRPr="005B6249">
        <w:rPr>
          <w:rFonts w:cstheme="minorHAnsi"/>
          <w:sz w:val="22"/>
          <w:szCs w:val="22"/>
        </w:rPr>
        <w:t xml:space="preserve">A </w:t>
      </w:r>
      <w:r w:rsidRPr="0097516A">
        <w:rPr>
          <w:rFonts w:cstheme="minorHAnsi"/>
          <w:b/>
          <w:bCs/>
          <w:sz w:val="22"/>
          <w:szCs w:val="22"/>
        </w:rPr>
        <w:t>competency gap</w:t>
      </w:r>
      <w:r w:rsidRPr="005B6249">
        <w:rPr>
          <w:rFonts w:cstheme="minorHAnsi"/>
          <w:sz w:val="22"/>
          <w:szCs w:val="22"/>
        </w:rPr>
        <w:t xml:space="preserve"> between </w:t>
      </w:r>
      <w:r>
        <w:rPr>
          <w:rFonts w:cstheme="minorHAnsi"/>
          <w:sz w:val="22"/>
          <w:szCs w:val="22"/>
        </w:rPr>
        <w:t xml:space="preserve">current </w:t>
      </w:r>
      <w:r w:rsidRPr="005B6249">
        <w:rPr>
          <w:rFonts w:cstheme="minorHAnsi"/>
          <w:sz w:val="22"/>
          <w:szCs w:val="22"/>
        </w:rPr>
        <w:t xml:space="preserve">crane operator training and the skills required for safe </w:t>
      </w:r>
      <w:r>
        <w:rPr>
          <w:rFonts w:cstheme="minorHAnsi"/>
          <w:sz w:val="22"/>
          <w:szCs w:val="22"/>
        </w:rPr>
        <w:t>crane</w:t>
      </w:r>
      <w:r w:rsidRPr="005B6249">
        <w:rPr>
          <w:rFonts w:cstheme="minorHAnsi"/>
          <w:sz w:val="22"/>
          <w:szCs w:val="22"/>
        </w:rPr>
        <w:t xml:space="preserve"> operation</w:t>
      </w:r>
      <w:r w:rsidR="008A3C58">
        <w:rPr>
          <w:rFonts w:cstheme="minorHAnsi"/>
          <w:sz w:val="22"/>
          <w:szCs w:val="22"/>
        </w:rPr>
        <w:t xml:space="preserve"> in maritime workplaces.</w:t>
      </w:r>
    </w:p>
    <w:p w14:paraId="0F1BA4F0" w14:textId="278D8376" w:rsidR="00AC1D55" w:rsidRPr="00AC1D55" w:rsidRDefault="00AC1D55" w:rsidP="00435A40">
      <w:pPr>
        <w:rPr>
          <w:rFonts w:ascii="Arial" w:hAnsi="Arial" w:cs="Arial"/>
          <w:sz w:val="22"/>
          <w:szCs w:val="22"/>
        </w:rPr>
      </w:pPr>
      <w:r w:rsidRPr="00AC1D55">
        <w:rPr>
          <w:rFonts w:ascii="Arial" w:hAnsi="Arial" w:cs="Arial"/>
          <w:sz w:val="22"/>
          <w:szCs w:val="22"/>
        </w:rPr>
        <w:t>This option proposes amending the model WHS Regulations to introduce a new HRW licence class for crane operations in maritime contexts</w:t>
      </w:r>
      <w:r w:rsidR="00800966">
        <w:rPr>
          <w:rFonts w:ascii="Arial" w:hAnsi="Arial" w:cs="Arial"/>
          <w:sz w:val="22"/>
          <w:szCs w:val="22"/>
        </w:rPr>
        <w:t xml:space="preserve">, with accompanying </w:t>
      </w:r>
      <w:r w:rsidR="004F458B">
        <w:rPr>
          <w:rFonts w:ascii="Arial" w:hAnsi="Arial" w:cs="Arial"/>
          <w:sz w:val="22"/>
          <w:szCs w:val="22"/>
        </w:rPr>
        <w:t>competency requirements</w:t>
      </w:r>
      <w:r w:rsidRPr="00AC1D55">
        <w:rPr>
          <w:rFonts w:ascii="Arial" w:hAnsi="Arial" w:cs="Arial"/>
          <w:sz w:val="22"/>
          <w:szCs w:val="22"/>
        </w:rPr>
        <w:t xml:space="preserve">. The intent </w:t>
      </w:r>
      <w:r w:rsidR="004F458B">
        <w:rPr>
          <w:rFonts w:ascii="Arial" w:hAnsi="Arial" w:cs="Arial"/>
          <w:sz w:val="22"/>
          <w:szCs w:val="22"/>
        </w:rPr>
        <w:t xml:space="preserve">of this option </w:t>
      </w:r>
      <w:r w:rsidRPr="00AC1D55">
        <w:rPr>
          <w:rFonts w:ascii="Arial" w:hAnsi="Arial" w:cs="Arial"/>
          <w:sz w:val="22"/>
          <w:szCs w:val="22"/>
        </w:rPr>
        <w:t xml:space="preserve">is to address </w:t>
      </w:r>
      <w:r w:rsidR="00353C13">
        <w:rPr>
          <w:rFonts w:ascii="Arial" w:hAnsi="Arial" w:cs="Arial"/>
          <w:sz w:val="22"/>
          <w:szCs w:val="22"/>
        </w:rPr>
        <w:t xml:space="preserve">the </w:t>
      </w:r>
      <w:r w:rsidRPr="00AC1D55">
        <w:rPr>
          <w:rFonts w:ascii="Arial" w:hAnsi="Arial" w:cs="Arial"/>
          <w:sz w:val="22"/>
          <w:szCs w:val="22"/>
        </w:rPr>
        <w:t>safety risks unique to maritime environments—such as vessel motion, shifting platforms, and variable load-handling conditions—that are not adequately covered by existing crane licence classes.</w:t>
      </w:r>
    </w:p>
    <w:p w14:paraId="32933F57" w14:textId="487F9E51" w:rsidR="00AC1D55" w:rsidRPr="00AC1D55" w:rsidRDefault="00AC1D55" w:rsidP="00AC1D55">
      <w:pPr>
        <w:spacing w:after="60"/>
        <w:rPr>
          <w:rFonts w:ascii="Arial" w:hAnsi="Arial" w:cs="Arial"/>
          <w:sz w:val="22"/>
          <w:szCs w:val="22"/>
        </w:rPr>
      </w:pPr>
      <w:r w:rsidRPr="00AC1D55">
        <w:rPr>
          <w:rFonts w:ascii="Arial" w:hAnsi="Arial" w:cs="Arial"/>
          <w:sz w:val="22"/>
          <w:szCs w:val="22"/>
        </w:rPr>
        <w:t xml:space="preserve">Two possible applications of this new licence </w:t>
      </w:r>
      <w:r w:rsidR="00435A40">
        <w:rPr>
          <w:rFonts w:ascii="Arial" w:hAnsi="Arial" w:cs="Arial"/>
          <w:sz w:val="22"/>
          <w:szCs w:val="22"/>
        </w:rPr>
        <w:t xml:space="preserve">class </w:t>
      </w:r>
      <w:r w:rsidRPr="00AC1D55">
        <w:rPr>
          <w:rFonts w:ascii="Arial" w:hAnsi="Arial" w:cs="Arial"/>
          <w:sz w:val="22"/>
          <w:szCs w:val="22"/>
        </w:rPr>
        <w:t>are under consideration:</w:t>
      </w:r>
    </w:p>
    <w:p w14:paraId="55F1B044" w14:textId="1F154770" w:rsidR="00AC1D55" w:rsidRPr="00AC1D55" w:rsidRDefault="00896341" w:rsidP="00157800">
      <w:pPr>
        <w:numPr>
          <w:ilvl w:val="0"/>
          <w:numId w:val="30"/>
        </w:numPr>
        <w:spacing w:after="60"/>
        <w:rPr>
          <w:rFonts w:ascii="Arial" w:hAnsi="Arial" w:cs="Arial"/>
          <w:sz w:val="22"/>
          <w:szCs w:val="22"/>
        </w:rPr>
      </w:pPr>
      <w:r>
        <w:rPr>
          <w:rFonts w:ascii="Arial" w:hAnsi="Arial" w:cs="Arial"/>
          <w:b/>
          <w:bCs/>
          <w:sz w:val="22"/>
          <w:szCs w:val="22"/>
        </w:rPr>
        <w:t>L</w:t>
      </w:r>
      <w:r w:rsidR="00673A0C">
        <w:rPr>
          <w:rFonts w:ascii="Arial" w:hAnsi="Arial" w:cs="Arial"/>
          <w:b/>
          <w:bCs/>
          <w:sz w:val="22"/>
          <w:szCs w:val="22"/>
        </w:rPr>
        <w:t>ocation-based</w:t>
      </w:r>
      <w:r w:rsidR="00AC1D55" w:rsidRPr="00AC1D55">
        <w:rPr>
          <w:rFonts w:ascii="Arial" w:hAnsi="Arial" w:cs="Arial"/>
          <w:b/>
          <w:bCs/>
          <w:sz w:val="22"/>
          <w:szCs w:val="22"/>
        </w:rPr>
        <w:t xml:space="preserve"> application</w:t>
      </w:r>
      <w:r w:rsidR="00AC1D55" w:rsidRPr="00AC1D55">
        <w:rPr>
          <w:rFonts w:ascii="Arial" w:hAnsi="Arial" w:cs="Arial"/>
          <w:sz w:val="22"/>
          <w:szCs w:val="22"/>
        </w:rPr>
        <w:t xml:space="preserve">: The licence would be required for all crane operations in </w:t>
      </w:r>
      <w:r w:rsidR="00673A0C">
        <w:rPr>
          <w:rFonts w:ascii="Arial" w:hAnsi="Arial" w:cs="Arial"/>
          <w:sz w:val="22"/>
          <w:szCs w:val="22"/>
        </w:rPr>
        <w:t xml:space="preserve">dynamic lifting </w:t>
      </w:r>
      <w:r w:rsidR="00AC1D55" w:rsidRPr="00AC1D55">
        <w:rPr>
          <w:rFonts w:ascii="Arial" w:hAnsi="Arial" w:cs="Arial"/>
          <w:sz w:val="22"/>
          <w:szCs w:val="22"/>
        </w:rPr>
        <w:t>workplaces.</w:t>
      </w:r>
    </w:p>
    <w:p w14:paraId="3403FB5E" w14:textId="52B17B3F" w:rsidR="00AC1D55" w:rsidRPr="00AC1D55" w:rsidRDefault="00AC1D55" w:rsidP="00157800">
      <w:pPr>
        <w:numPr>
          <w:ilvl w:val="0"/>
          <w:numId w:val="30"/>
        </w:numPr>
        <w:spacing w:after="60"/>
        <w:rPr>
          <w:rFonts w:ascii="Arial" w:hAnsi="Arial" w:cs="Arial"/>
          <w:sz w:val="22"/>
          <w:szCs w:val="22"/>
        </w:rPr>
      </w:pPr>
      <w:r w:rsidRPr="00AC1D55">
        <w:rPr>
          <w:rFonts w:ascii="Arial" w:hAnsi="Arial" w:cs="Arial"/>
          <w:b/>
          <w:bCs/>
          <w:sz w:val="22"/>
          <w:szCs w:val="22"/>
        </w:rPr>
        <w:t>Activity-specific application</w:t>
      </w:r>
      <w:r w:rsidRPr="00AC1D55">
        <w:rPr>
          <w:rFonts w:ascii="Arial" w:hAnsi="Arial" w:cs="Arial"/>
          <w:sz w:val="22"/>
          <w:szCs w:val="22"/>
        </w:rPr>
        <w:t xml:space="preserve">: The licence would apply only to crane operations involving </w:t>
      </w:r>
      <w:r w:rsidR="00D56742">
        <w:rPr>
          <w:rFonts w:ascii="Arial" w:hAnsi="Arial" w:cs="Arial"/>
          <w:sz w:val="22"/>
          <w:szCs w:val="22"/>
        </w:rPr>
        <w:t>exposure to</w:t>
      </w:r>
      <w:r w:rsidR="00C374CE">
        <w:rPr>
          <w:rFonts w:ascii="Arial" w:hAnsi="Arial" w:cs="Arial"/>
          <w:sz w:val="22"/>
          <w:szCs w:val="22"/>
        </w:rPr>
        <w:t xml:space="preserve"> </w:t>
      </w:r>
      <w:r w:rsidRPr="00AC1D55">
        <w:rPr>
          <w:rFonts w:ascii="Arial" w:hAnsi="Arial" w:cs="Arial"/>
          <w:sz w:val="22"/>
          <w:szCs w:val="22"/>
        </w:rPr>
        <w:t>dynamic elements (e.g., where the crane, load, or landing area is subject to movement caused by maritime conditions).</w:t>
      </w:r>
    </w:p>
    <w:p w14:paraId="0C353807" w14:textId="70935710" w:rsidR="00C328BF" w:rsidRPr="00BA5E58" w:rsidRDefault="00C328BF" w:rsidP="00CF5C69">
      <w:pPr>
        <w:spacing w:before="240" w:after="60"/>
        <w:rPr>
          <w:rFonts w:ascii="Arial" w:hAnsi="Arial" w:cs="Arial"/>
          <w:i/>
          <w:iCs/>
          <w:sz w:val="22"/>
          <w:szCs w:val="22"/>
        </w:rPr>
      </w:pPr>
      <w:r w:rsidRPr="00BA5E58">
        <w:rPr>
          <w:rFonts w:ascii="Arial" w:hAnsi="Arial" w:cs="Arial"/>
          <w:i/>
          <w:iCs/>
          <w:sz w:val="22"/>
          <w:szCs w:val="22"/>
        </w:rPr>
        <w:t xml:space="preserve">Proposed definition of </w:t>
      </w:r>
      <w:r w:rsidR="006B7C26">
        <w:rPr>
          <w:rFonts w:ascii="Arial" w:hAnsi="Arial" w:cs="Arial"/>
          <w:i/>
          <w:iCs/>
          <w:sz w:val="22"/>
          <w:szCs w:val="22"/>
        </w:rPr>
        <w:t>dynamic</w:t>
      </w:r>
      <w:r w:rsidR="00B9188B">
        <w:rPr>
          <w:rFonts w:ascii="Arial" w:hAnsi="Arial" w:cs="Arial"/>
          <w:i/>
          <w:iCs/>
          <w:sz w:val="22"/>
          <w:szCs w:val="22"/>
        </w:rPr>
        <w:t xml:space="preserve"> </w:t>
      </w:r>
      <w:r w:rsidR="009C2836">
        <w:rPr>
          <w:rFonts w:ascii="Arial" w:hAnsi="Arial" w:cs="Arial"/>
          <w:i/>
          <w:iCs/>
          <w:sz w:val="22"/>
          <w:szCs w:val="22"/>
        </w:rPr>
        <w:t>lifting</w:t>
      </w:r>
      <w:r w:rsidRPr="00BA5E58">
        <w:rPr>
          <w:rFonts w:ascii="Arial" w:hAnsi="Arial" w:cs="Arial"/>
          <w:i/>
          <w:iCs/>
          <w:sz w:val="22"/>
          <w:szCs w:val="22"/>
        </w:rPr>
        <w:t xml:space="preserve"> workplace</w:t>
      </w:r>
    </w:p>
    <w:p w14:paraId="70B30F8D" w14:textId="6D756CBA" w:rsidR="00C328BF" w:rsidRPr="0047600B" w:rsidRDefault="00C328BF" w:rsidP="00C328BF">
      <w:pPr>
        <w:rPr>
          <w:rFonts w:ascii="Arial" w:hAnsi="Arial" w:cs="Arial"/>
          <w:sz w:val="22"/>
          <w:szCs w:val="22"/>
        </w:rPr>
      </w:pPr>
      <w:r w:rsidRPr="00BA5E58">
        <w:rPr>
          <w:rFonts w:ascii="Arial" w:hAnsi="Arial" w:cs="Arial"/>
          <w:sz w:val="22"/>
          <w:szCs w:val="22"/>
        </w:rPr>
        <w:t>To support th</w:t>
      </w:r>
      <w:r>
        <w:rPr>
          <w:rFonts w:ascii="Arial" w:hAnsi="Arial" w:cs="Arial"/>
          <w:sz w:val="22"/>
          <w:szCs w:val="22"/>
        </w:rPr>
        <w:t>is option, a clear</w:t>
      </w:r>
      <w:r w:rsidRPr="00BA5E58">
        <w:rPr>
          <w:rFonts w:ascii="Arial" w:hAnsi="Arial" w:cs="Arial"/>
          <w:sz w:val="22"/>
          <w:szCs w:val="22"/>
        </w:rPr>
        <w:t xml:space="preserve"> </w:t>
      </w:r>
      <w:r w:rsidR="009661CC">
        <w:rPr>
          <w:rFonts w:ascii="Arial" w:hAnsi="Arial" w:cs="Arial"/>
          <w:sz w:val="22"/>
          <w:szCs w:val="22"/>
        </w:rPr>
        <w:t xml:space="preserve">and appropriately scoped </w:t>
      </w:r>
      <w:r w:rsidRPr="00BA5E58">
        <w:rPr>
          <w:rFonts w:ascii="Arial" w:hAnsi="Arial" w:cs="Arial"/>
          <w:sz w:val="22"/>
          <w:szCs w:val="22"/>
        </w:rPr>
        <w:t>defin</w:t>
      </w:r>
      <w:r>
        <w:rPr>
          <w:rFonts w:ascii="Arial" w:hAnsi="Arial" w:cs="Arial"/>
          <w:sz w:val="22"/>
          <w:szCs w:val="22"/>
        </w:rPr>
        <w:t xml:space="preserve">ition of </w:t>
      </w:r>
      <w:r w:rsidR="007A5B06">
        <w:rPr>
          <w:rFonts w:ascii="Arial" w:hAnsi="Arial" w:cs="Arial"/>
          <w:i/>
          <w:iCs/>
          <w:sz w:val="22"/>
          <w:szCs w:val="22"/>
        </w:rPr>
        <w:t xml:space="preserve">dynamic </w:t>
      </w:r>
      <w:r w:rsidR="008A493C">
        <w:rPr>
          <w:rFonts w:ascii="Arial" w:hAnsi="Arial" w:cs="Arial"/>
          <w:i/>
          <w:iCs/>
          <w:sz w:val="22"/>
          <w:szCs w:val="22"/>
        </w:rPr>
        <w:t>lifting</w:t>
      </w:r>
      <w:r w:rsidRPr="00BA5E58">
        <w:rPr>
          <w:rFonts w:ascii="Arial" w:hAnsi="Arial" w:cs="Arial"/>
          <w:i/>
          <w:iCs/>
          <w:sz w:val="22"/>
          <w:szCs w:val="22"/>
        </w:rPr>
        <w:t xml:space="preserve"> workplace</w:t>
      </w:r>
      <w:r>
        <w:rPr>
          <w:rFonts w:ascii="Arial" w:hAnsi="Arial" w:cs="Arial"/>
          <w:i/>
          <w:iCs/>
          <w:sz w:val="22"/>
          <w:szCs w:val="22"/>
        </w:rPr>
        <w:t xml:space="preserve"> </w:t>
      </w:r>
      <w:r w:rsidRPr="0047600B">
        <w:rPr>
          <w:rFonts w:ascii="Arial" w:hAnsi="Arial" w:cs="Arial"/>
          <w:sz w:val="22"/>
          <w:szCs w:val="22"/>
        </w:rPr>
        <w:t>is required to ensure consistent application of the licence and alignment with policy intent</w:t>
      </w:r>
      <w:r>
        <w:rPr>
          <w:rFonts w:ascii="Arial" w:hAnsi="Arial" w:cs="Arial"/>
          <w:sz w:val="22"/>
          <w:szCs w:val="22"/>
        </w:rPr>
        <w:t>.</w:t>
      </w:r>
    </w:p>
    <w:p w14:paraId="2068781B" w14:textId="5E5A7EBA" w:rsidR="00C328BF" w:rsidRPr="00BA5E58" w:rsidRDefault="008A493C" w:rsidP="00C328BF">
      <w:pPr>
        <w:rPr>
          <w:rFonts w:ascii="Arial" w:hAnsi="Arial" w:cs="Arial"/>
          <w:sz w:val="22"/>
          <w:szCs w:val="22"/>
        </w:rPr>
      </w:pPr>
      <w:r>
        <w:rPr>
          <w:rFonts w:ascii="Arial" w:hAnsi="Arial" w:cs="Arial"/>
          <w:sz w:val="22"/>
          <w:szCs w:val="22"/>
        </w:rPr>
        <w:t>D</w:t>
      </w:r>
      <w:r w:rsidR="0014630B">
        <w:rPr>
          <w:rFonts w:ascii="Arial" w:hAnsi="Arial" w:cs="Arial"/>
          <w:sz w:val="22"/>
          <w:szCs w:val="22"/>
        </w:rPr>
        <w:t xml:space="preserve">ynamic </w:t>
      </w:r>
      <w:r>
        <w:rPr>
          <w:rFonts w:ascii="Arial" w:hAnsi="Arial" w:cs="Arial"/>
          <w:sz w:val="22"/>
          <w:szCs w:val="22"/>
        </w:rPr>
        <w:t>lifting</w:t>
      </w:r>
      <w:r w:rsidR="0014630B">
        <w:rPr>
          <w:rFonts w:ascii="Arial" w:hAnsi="Arial" w:cs="Arial"/>
          <w:sz w:val="22"/>
          <w:szCs w:val="22"/>
        </w:rPr>
        <w:t xml:space="preserve"> </w:t>
      </w:r>
      <w:r w:rsidR="00C328BF" w:rsidRPr="00BA5E58">
        <w:rPr>
          <w:rFonts w:ascii="Arial" w:hAnsi="Arial" w:cs="Arial"/>
          <w:sz w:val="22"/>
          <w:szCs w:val="22"/>
        </w:rPr>
        <w:t xml:space="preserve">workplaces are characterised by </w:t>
      </w:r>
      <w:r w:rsidR="007810AE">
        <w:rPr>
          <w:rFonts w:ascii="Arial" w:hAnsi="Arial" w:cs="Arial"/>
          <w:sz w:val="22"/>
          <w:szCs w:val="22"/>
        </w:rPr>
        <w:t xml:space="preserve">operational complexity and </w:t>
      </w:r>
      <w:r w:rsidR="003B655B">
        <w:rPr>
          <w:rFonts w:ascii="Arial" w:hAnsi="Arial" w:cs="Arial"/>
          <w:sz w:val="22"/>
          <w:szCs w:val="22"/>
        </w:rPr>
        <w:t>the influence</w:t>
      </w:r>
      <w:r w:rsidR="00885EA8">
        <w:rPr>
          <w:rFonts w:ascii="Arial" w:hAnsi="Arial" w:cs="Arial"/>
          <w:sz w:val="22"/>
          <w:szCs w:val="22"/>
        </w:rPr>
        <w:t xml:space="preserve"> of </w:t>
      </w:r>
      <w:r w:rsidR="00C328BF" w:rsidRPr="00BA5E58">
        <w:rPr>
          <w:rFonts w:ascii="Arial" w:hAnsi="Arial" w:cs="Arial"/>
          <w:sz w:val="22"/>
          <w:szCs w:val="22"/>
        </w:rPr>
        <w:t xml:space="preserve">dynamic </w:t>
      </w:r>
      <w:r w:rsidR="00975BBF">
        <w:rPr>
          <w:rFonts w:ascii="Arial" w:hAnsi="Arial" w:cs="Arial"/>
          <w:sz w:val="22"/>
          <w:szCs w:val="22"/>
        </w:rPr>
        <w:t>forces that can af</w:t>
      </w:r>
      <w:r w:rsidR="00EE4E48">
        <w:rPr>
          <w:rFonts w:ascii="Arial" w:hAnsi="Arial" w:cs="Arial"/>
          <w:sz w:val="22"/>
          <w:szCs w:val="22"/>
        </w:rPr>
        <w:t>f</w:t>
      </w:r>
      <w:r w:rsidR="00975BBF">
        <w:rPr>
          <w:rFonts w:ascii="Arial" w:hAnsi="Arial" w:cs="Arial"/>
          <w:sz w:val="22"/>
          <w:szCs w:val="22"/>
        </w:rPr>
        <w:t>ect both the work platform and the load-handling</w:t>
      </w:r>
      <w:r w:rsidR="00EE4E48">
        <w:rPr>
          <w:rFonts w:ascii="Arial" w:hAnsi="Arial" w:cs="Arial"/>
          <w:sz w:val="22"/>
          <w:szCs w:val="22"/>
        </w:rPr>
        <w:t xml:space="preserve"> environment</w:t>
      </w:r>
      <w:r w:rsidR="00C328BF" w:rsidRPr="00BA5E58">
        <w:rPr>
          <w:rFonts w:ascii="Arial" w:hAnsi="Arial" w:cs="Arial"/>
          <w:sz w:val="22"/>
          <w:szCs w:val="22"/>
        </w:rPr>
        <w:t xml:space="preserve">. </w:t>
      </w:r>
      <w:r w:rsidR="00C328BF">
        <w:rPr>
          <w:rFonts w:ascii="Arial" w:hAnsi="Arial" w:cs="Arial"/>
          <w:sz w:val="22"/>
          <w:szCs w:val="22"/>
        </w:rPr>
        <w:t>T</w:t>
      </w:r>
      <w:r w:rsidR="00C328BF" w:rsidRPr="00BA5E58">
        <w:rPr>
          <w:rFonts w:ascii="Arial" w:hAnsi="Arial" w:cs="Arial"/>
          <w:sz w:val="22"/>
          <w:szCs w:val="22"/>
        </w:rPr>
        <w:t xml:space="preserve">hese </w:t>
      </w:r>
      <w:r w:rsidR="00E91382">
        <w:rPr>
          <w:rFonts w:ascii="Arial" w:hAnsi="Arial" w:cs="Arial"/>
          <w:sz w:val="22"/>
          <w:szCs w:val="22"/>
        </w:rPr>
        <w:t>conditions may result</w:t>
      </w:r>
      <w:r w:rsidR="00551B3D">
        <w:rPr>
          <w:rFonts w:ascii="Arial" w:hAnsi="Arial" w:cs="Arial"/>
          <w:sz w:val="22"/>
          <w:szCs w:val="22"/>
        </w:rPr>
        <w:t xml:space="preserve"> from </w:t>
      </w:r>
      <w:r w:rsidR="00FD1A40">
        <w:rPr>
          <w:rFonts w:ascii="Arial" w:hAnsi="Arial" w:cs="Arial"/>
          <w:sz w:val="22"/>
          <w:szCs w:val="22"/>
        </w:rPr>
        <w:t xml:space="preserve">maritime </w:t>
      </w:r>
      <w:r w:rsidR="00C328BF" w:rsidRPr="00BA5E58">
        <w:rPr>
          <w:rFonts w:ascii="Arial" w:hAnsi="Arial" w:cs="Arial"/>
          <w:sz w:val="22"/>
          <w:szCs w:val="22"/>
        </w:rPr>
        <w:t>factors such as vessel motion,</w:t>
      </w:r>
      <w:r w:rsidR="009B51F2">
        <w:rPr>
          <w:rFonts w:ascii="Arial" w:hAnsi="Arial" w:cs="Arial"/>
          <w:sz w:val="22"/>
          <w:szCs w:val="22"/>
        </w:rPr>
        <w:t xml:space="preserve"> wave action, tidal shifts</w:t>
      </w:r>
      <w:r w:rsidR="0003220E">
        <w:rPr>
          <w:rFonts w:ascii="Arial" w:hAnsi="Arial" w:cs="Arial"/>
          <w:sz w:val="22"/>
          <w:szCs w:val="22"/>
        </w:rPr>
        <w:t>, or</w:t>
      </w:r>
      <w:r w:rsidR="00A60E9C">
        <w:rPr>
          <w:rFonts w:ascii="Arial" w:hAnsi="Arial" w:cs="Arial"/>
          <w:sz w:val="22"/>
          <w:szCs w:val="22"/>
        </w:rPr>
        <w:t xml:space="preserve"> interactions between</w:t>
      </w:r>
      <w:r w:rsidR="007C325B">
        <w:rPr>
          <w:rFonts w:ascii="Arial" w:hAnsi="Arial" w:cs="Arial"/>
          <w:sz w:val="22"/>
          <w:szCs w:val="22"/>
        </w:rPr>
        <w:t xml:space="preserve"> vessels and shore-based structures</w:t>
      </w:r>
      <w:r w:rsidR="00C328BF">
        <w:rPr>
          <w:rFonts w:ascii="Arial" w:hAnsi="Arial" w:cs="Arial"/>
          <w:sz w:val="22"/>
          <w:szCs w:val="22"/>
        </w:rPr>
        <w:t xml:space="preserve">, which </w:t>
      </w:r>
      <w:r w:rsidR="005E53C5">
        <w:rPr>
          <w:rFonts w:ascii="Arial" w:hAnsi="Arial" w:cs="Arial"/>
          <w:sz w:val="22"/>
          <w:szCs w:val="22"/>
        </w:rPr>
        <w:t xml:space="preserve">can </w:t>
      </w:r>
      <w:r w:rsidR="00C328BF">
        <w:rPr>
          <w:rFonts w:ascii="Arial" w:hAnsi="Arial" w:cs="Arial"/>
          <w:sz w:val="22"/>
          <w:szCs w:val="22"/>
        </w:rPr>
        <w:t xml:space="preserve">significantly influence </w:t>
      </w:r>
      <w:r w:rsidR="00C328BF" w:rsidRPr="00BA5E58">
        <w:rPr>
          <w:rFonts w:ascii="Arial" w:hAnsi="Arial" w:cs="Arial"/>
          <w:sz w:val="22"/>
          <w:szCs w:val="22"/>
        </w:rPr>
        <w:t>the risk profile of crane operations</w:t>
      </w:r>
      <w:r w:rsidR="00C328BF">
        <w:rPr>
          <w:rFonts w:ascii="Arial" w:hAnsi="Arial" w:cs="Arial"/>
          <w:sz w:val="22"/>
          <w:szCs w:val="22"/>
        </w:rPr>
        <w:t>.</w:t>
      </w:r>
    </w:p>
    <w:p w14:paraId="62D45C3A" w14:textId="77777777" w:rsidR="00C328BF" w:rsidRPr="00BA5E58" w:rsidRDefault="00C328BF" w:rsidP="00C328BF">
      <w:pPr>
        <w:rPr>
          <w:rFonts w:ascii="Arial" w:hAnsi="Arial" w:cs="Arial"/>
          <w:sz w:val="22"/>
          <w:szCs w:val="22"/>
        </w:rPr>
      </w:pPr>
      <w:r w:rsidRPr="00291A3B">
        <w:rPr>
          <w:rFonts w:ascii="Arial" w:hAnsi="Arial" w:cs="Arial"/>
          <w:sz w:val="22"/>
          <w:szCs w:val="22"/>
        </w:rPr>
        <w:t>For the purposes of consultation, the following working definition is proposed:</w:t>
      </w:r>
    </w:p>
    <w:tbl>
      <w:tblPr>
        <w:tblStyle w:val="TableGrid"/>
        <w:tblW w:w="0" w:type="auto"/>
        <w:tblLook w:val="04A0" w:firstRow="1" w:lastRow="0" w:firstColumn="1" w:lastColumn="0" w:noHBand="0" w:noVBand="1"/>
      </w:tblPr>
      <w:tblGrid>
        <w:gridCol w:w="9016"/>
      </w:tblGrid>
      <w:tr w:rsidR="00C328BF" w:rsidRPr="00BA5E58" w14:paraId="2D9C46FA" w14:textId="77777777" w:rsidTr="00EF1CEA">
        <w:tc>
          <w:tcPr>
            <w:tcW w:w="9016" w:type="dxa"/>
          </w:tcPr>
          <w:p w14:paraId="07E314A9" w14:textId="7F055059" w:rsidR="00C328BF" w:rsidRPr="00BA5E58" w:rsidRDefault="00C328BF" w:rsidP="00EF1CEA">
            <w:pPr>
              <w:spacing w:before="40" w:after="40"/>
              <w:rPr>
                <w:rFonts w:ascii="Arial" w:hAnsi="Arial" w:cs="Arial"/>
                <w:i/>
                <w:iCs/>
                <w:sz w:val="22"/>
                <w:szCs w:val="22"/>
              </w:rPr>
            </w:pPr>
            <w:r w:rsidRPr="00BA5E58">
              <w:rPr>
                <w:rFonts w:ascii="Arial" w:hAnsi="Arial" w:cs="Arial"/>
                <w:i/>
                <w:iCs/>
                <w:sz w:val="22"/>
                <w:szCs w:val="22"/>
              </w:rPr>
              <w:lastRenderedPageBreak/>
              <w:t>Any location—whether land-based, waterborne, or offshore—where work is undertaken in connection with maritime crane operations, and where either the work platform or the load-handling environment is subject to dynamic movement (such as vessel motion, wave action, or tidal shifts). This includes environments where maritime conditions may influence the safety and stability of crane operations</w:t>
            </w:r>
            <w:r w:rsidR="00D21ABA">
              <w:rPr>
                <w:rFonts w:ascii="Arial" w:hAnsi="Arial" w:cs="Arial"/>
                <w:i/>
                <w:iCs/>
                <w:sz w:val="22"/>
                <w:szCs w:val="22"/>
              </w:rPr>
              <w:t xml:space="preserve">, </w:t>
            </w:r>
            <w:r w:rsidR="007B7947">
              <w:rPr>
                <w:rFonts w:ascii="Arial" w:hAnsi="Arial" w:cs="Arial"/>
                <w:i/>
                <w:iCs/>
                <w:sz w:val="22"/>
                <w:szCs w:val="22"/>
              </w:rPr>
              <w:t>such as those</w:t>
            </w:r>
            <w:r w:rsidR="00DD39D3">
              <w:rPr>
                <w:rFonts w:ascii="Arial" w:hAnsi="Arial" w:cs="Arial"/>
                <w:i/>
                <w:iCs/>
                <w:sz w:val="22"/>
                <w:szCs w:val="22"/>
              </w:rPr>
              <w:t xml:space="preserve"> involving</w:t>
            </w:r>
            <w:r w:rsidR="00F249D1">
              <w:rPr>
                <w:rFonts w:ascii="Arial" w:hAnsi="Arial" w:cs="Arial"/>
                <w:i/>
                <w:iCs/>
                <w:sz w:val="22"/>
                <w:szCs w:val="22"/>
              </w:rPr>
              <w:t xml:space="preserve"> cranes mounted on</w:t>
            </w:r>
            <w:r w:rsidR="00316CA8">
              <w:rPr>
                <w:rFonts w:ascii="Arial" w:hAnsi="Arial" w:cs="Arial"/>
                <w:i/>
                <w:iCs/>
                <w:sz w:val="22"/>
                <w:szCs w:val="22"/>
              </w:rPr>
              <w:t xml:space="preserve"> foreign-flagged vessels</w:t>
            </w:r>
            <w:r w:rsidRPr="00BA5E58">
              <w:rPr>
                <w:rFonts w:ascii="Arial" w:hAnsi="Arial" w:cs="Arial"/>
                <w:i/>
                <w:iCs/>
                <w:sz w:val="22"/>
                <w:szCs w:val="22"/>
              </w:rPr>
              <w:t>.</w:t>
            </w:r>
          </w:p>
        </w:tc>
      </w:tr>
    </w:tbl>
    <w:p w14:paraId="5F5BA568" w14:textId="77777777" w:rsidR="00C328BF" w:rsidRPr="008C10EB" w:rsidRDefault="00C328BF" w:rsidP="00136943">
      <w:pPr>
        <w:spacing w:before="120"/>
        <w:rPr>
          <w:rFonts w:ascii="Arial" w:hAnsi="Arial" w:cs="Arial"/>
          <w:sz w:val="22"/>
          <w:szCs w:val="22"/>
        </w:rPr>
      </w:pPr>
      <w:r w:rsidRPr="008C10EB">
        <w:rPr>
          <w:rFonts w:ascii="Arial" w:hAnsi="Arial" w:cs="Arial"/>
          <w:sz w:val="22"/>
          <w:szCs w:val="22"/>
        </w:rPr>
        <w:t>Examples include:</w:t>
      </w:r>
    </w:p>
    <w:p w14:paraId="59E576A6" w14:textId="2B66E929" w:rsidR="00C328BF" w:rsidRPr="008C10EB" w:rsidRDefault="00C328BF" w:rsidP="00157800">
      <w:pPr>
        <w:numPr>
          <w:ilvl w:val="0"/>
          <w:numId w:val="28"/>
        </w:numPr>
        <w:spacing w:after="60"/>
        <w:ind w:left="714" w:hanging="357"/>
        <w:rPr>
          <w:rFonts w:ascii="Arial" w:hAnsi="Arial" w:cs="Arial"/>
          <w:sz w:val="22"/>
          <w:szCs w:val="22"/>
        </w:rPr>
      </w:pPr>
      <w:r w:rsidRPr="008C10EB">
        <w:rPr>
          <w:rFonts w:ascii="Arial" w:hAnsi="Arial" w:cs="Arial"/>
          <w:sz w:val="22"/>
          <w:szCs w:val="22"/>
        </w:rPr>
        <w:t>Commercial vessels, barges, and pontoons affected by swell, tide, or wind</w:t>
      </w:r>
      <w:r w:rsidR="006E1F92">
        <w:rPr>
          <w:rFonts w:ascii="Arial" w:hAnsi="Arial" w:cs="Arial"/>
          <w:sz w:val="22"/>
          <w:szCs w:val="22"/>
        </w:rPr>
        <w:t>.</w:t>
      </w:r>
    </w:p>
    <w:p w14:paraId="53059F69" w14:textId="629C7F5B" w:rsidR="00C328BF" w:rsidRPr="008C10EB" w:rsidRDefault="00C328BF" w:rsidP="00157800">
      <w:pPr>
        <w:numPr>
          <w:ilvl w:val="0"/>
          <w:numId w:val="28"/>
        </w:numPr>
        <w:spacing w:after="60"/>
        <w:ind w:left="714" w:hanging="357"/>
        <w:rPr>
          <w:rFonts w:ascii="Arial" w:hAnsi="Arial" w:cs="Arial"/>
          <w:sz w:val="22"/>
          <w:szCs w:val="22"/>
        </w:rPr>
      </w:pPr>
      <w:r w:rsidRPr="008C10EB">
        <w:rPr>
          <w:rFonts w:ascii="Arial" w:hAnsi="Arial" w:cs="Arial"/>
          <w:sz w:val="22"/>
          <w:szCs w:val="22"/>
        </w:rPr>
        <w:t>Floating or moored structures where the load-handling area may shift or respond to external forces</w:t>
      </w:r>
      <w:r w:rsidR="006E1F92">
        <w:rPr>
          <w:rFonts w:ascii="Arial" w:hAnsi="Arial" w:cs="Arial"/>
          <w:sz w:val="22"/>
          <w:szCs w:val="22"/>
        </w:rPr>
        <w:t>.</w:t>
      </w:r>
    </w:p>
    <w:p w14:paraId="19C16892" w14:textId="2A3E139A" w:rsidR="00C328BF" w:rsidRPr="008C10EB" w:rsidRDefault="00C328BF" w:rsidP="00157800">
      <w:pPr>
        <w:numPr>
          <w:ilvl w:val="0"/>
          <w:numId w:val="28"/>
        </w:numPr>
        <w:spacing w:after="60"/>
        <w:ind w:left="714" w:hanging="357"/>
        <w:rPr>
          <w:rFonts w:ascii="Arial" w:hAnsi="Arial" w:cs="Arial"/>
          <w:sz w:val="22"/>
          <w:szCs w:val="22"/>
        </w:rPr>
      </w:pPr>
      <w:r w:rsidRPr="008C10EB">
        <w:rPr>
          <w:rFonts w:ascii="Arial" w:hAnsi="Arial" w:cs="Arial"/>
          <w:sz w:val="22"/>
          <w:szCs w:val="22"/>
        </w:rPr>
        <w:t>Ports, wharves, and terminals where interaction occurs between vessels and land-based equipment</w:t>
      </w:r>
      <w:r w:rsidR="006E1F92">
        <w:rPr>
          <w:rFonts w:ascii="Arial" w:hAnsi="Arial" w:cs="Arial"/>
          <w:sz w:val="22"/>
          <w:szCs w:val="22"/>
        </w:rPr>
        <w:t>.</w:t>
      </w:r>
    </w:p>
    <w:p w14:paraId="2BD57252" w14:textId="15AEEE5F" w:rsidR="00C328BF" w:rsidRPr="008C10EB" w:rsidRDefault="00C328BF" w:rsidP="00157800">
      <w:pPr>
        <w:numPr>
          <w:ilvl w:val="0"/>
          <w:numId w:val="28"/>
        </w:numPr>
        <w:spacing w:after="60"/>
        <w:ind w:left="714" w:hanging="357"/>
        <w:rPr>
          <w:rFonts w:ascii="Arial" w:hAnsi="Arial" w:cs="Arial"/>
          <w:sz w:val="22"/>
          <w:szCs w:val="22"/>
        </w:rPr>
      </w:pPr>
      <w:r w:rsidRPr="008C10EB">
        <w:rPr>
          <w:rFonts w:ascii="Arial" w:hAnsi="Arial" w:cs="Arial"/>
          <w:sz w:val="22"/>
          <w:szCs w:val="22"/>
        </w:rPr>
        <w:t>Offshore platforms and floating infrastructure subject to sea conditions</w:t>
      </w:r>
      <w:r w:rsidR="006E1F92">
        <w:rPr>
          <w:rFonts w:ascii="Arial" w:hAnsi="Arial" w:cs="Arial"/>
          <w:sz w:val="22"/>
          <w:szCs w:val="22"/>
        </w:rPr>
        <w:t>.</w:t>
      </w:r>
    </w:p>
    <w:p w14:paraId="368F7FFE" w14:textId="77777777" w:rsidR="00C328BF" w:rsidRPr="008C10EB" w:rsidRDefault="00C328BF" w:rsidP="00157800">
      <w:pPr>
        <w:numPr>
          <w:ilvl w:val="0"/>
          <w:numId w:val="28"/>
        </w:numPr>
        <w:rPr>
          <w:rFonts w:ascii="Arial" w:hAnsi="Arial" w:cs="Arial"/>
          <w:sz w:val="22"/>
          <w:szCs w:val="22"/>
        </w:rPr>
      </w:pPr>
      <w:r w:rsidRPr="008C10EB">
        <w:rPr>
          <w:rFonts w:ascii="Arial" w:hAnsi="Arial" w:cs="Arial"/>
          <w:sz w:val="22"/>
          <w:szCs w:val="22"/>
        </w:rPr>
        <w:t>Shipyards and dry docks where vessels may be repositioned or in transition during work activities.</w:t>
      </w:r>
    </w:p>
    <w:p w14:paraId="3A2E02B3" w14:textId="77777777" w:rsidR="00C328BF" w:rsidRPr="008C10EB" w:rsidRDefault="00C328BF" w:rsidP="00C328BF">
      <w:pPr>
        <w:rPr>
          <w:rFonts w:ascii="Arial" w:hAnsi="Arial" w:cs="Arial"/>
          <w:sz w:val="22"/>
          <w:szCs w:val="22"/>
        </w:rPr>
      </w:pPr>
      <w:r w:rsidRPr="008C10EB">
        <w:rPr>
          <w:rFonts w:ascii="Arial" w:hAnsi="Arial" w:cs="Arial"/>
          <w:sz w:val="22"/>
          <w:szCs w:val="22"/>
        </w:rPr>
        <w:t>The defining feature is the presence of dynamic conditions that affect either:</w:t>
      </w:r>
    </w:p>
    <w:p w14:paraId="122A5530" w14:textId="1F88B4EE" w:rsidR="00C328BF" w:rsidRPr="008C10EB" w:rsidRDefault="006E1F92" w:rsidP="00157800">
      <w:pPr>
        <w:numPr>
          <w:ilvl w:val="0"/>
          <w:numId w:val="29"/>
        </w:numPr>
        <w:rPr>
          <w:rFonts w:ascii="Arial" w:hAnsi="Arial" w:cs="Arial"/>
          <w:sz w:val="22"/>
          <w:szCs w:val="22"/>
        </w:rPr>
      </w:pPr>
      <w:r>
        <w:rPr>
          <w:rFonts w:ascii="Arial" w:hAnsi="Arial" w:cs="Arial"/>
          <w:sz w:val="22"/>
          <w:szCs w:val="22"/>
        </w:rPr>
        <w:t>t</w:t>
      </w:r>
      <w:r w:rsidRPr="008C10EB">
        <w:rPr>
          <w:rFonts w:ascii="Arial" w:hAnsi="Arial" w:cs="Arial"/>
          <w:sz w:val="22"/>
          <w:szCs w:val="22"/>
        </w:rPr>
        <w:t xml:space="preserve">he </w:t>
      </w:r>
      <w:r w:rsidR="00C328BF" w:rsidRPr="008C10EB">
        <w:rPr>
          <w:rFonts w:ascii="Arial" w:hAnsi="Arial" w:cs="Arial"/>
          <w:sz w:val="22"/>
          <w:szCs w:val="22"/>
        </w:rPr>
        <w:t>stability or positioning of plant or equipment, or</w:t>
      </w:r>
    </w:p>
    <w:p w14:paraId="7D12C2D6" w14:textId="4812A5D9" w:rsidR="00C328BF" w:rsidRPr="008C10EB" w:rsidRDefault="006E1F92" w:rsidP="00157800">
      <w:pPr>
        <w:numPr>
          <w:ilvl w:val="0"/>
          <w:numId w:val="29"/>
        </w:numPr>
        <w:rPr>
          <w:rFonts w:ascii="Arial" w:hAnsi="Arial" w:cs="Arial"/>
          <w:sz w:val="22"/>
          <w:szCs w:val="22"/>
        </w:rPr>
      </w:pPr>
      <w:r>
        <w:rPr>
          <w:rFonts w:ascii="Arial" w:hAnsi="Arial" w:cs="Arial"/>
          <w:sz w:val="22"/>
          <w:szCs w:val="22"/>
        </w:rPr>
        <w:t>t</w:t>
      </w:r>
      <w:r w:rsidRPr="008C10EB">
        <w:rPr>
          <w:rFonts w:ascii="Arial" w:hAnsi="Arial" w:cs="Arial"/>
          <w:sz w:val="22"/>
          <w:szCs w:val="22"/>
        </w:rPr>
        <w:t xml:space="preserve">he </w:t>
      </w:r>
      <w:r w:rsidR="00C328BF" w:rsidRPr="008C10EB">
        <w:rPr>
          <w:rFonts w:ascii="Arial" w:hAnsi="Arial" w:cs="Arial"/>
          <w:sz w:val="22"/>
          <w:szCs w:val="22"/>
        </w:rPr>
        <w:t>location or behaviour of the load or landing area.</w:t>
      </w:r>
    </w:p>
    <w:p w14:paraId="53C998FB" w14:textId="77777777" w:rsidR="00C328BF" w:rsidRPr="00BA5E58" w:rsidRDefault="00C328BF" w:rsidP="00C328BF">
      <w:pPr>
        <w:rPr>
          <w:rFonts w:ascii="Arial" w:hAnsi="Arial" w:cs="Arial"/>
          <w:sz w:val="22"/>
          <w:szCs w:val="22"/>
        </w:rPr>
      </w:pPr>
      <w:r w:rsidRPr="00BA5E58">
        <w:rPr>
          <w:rFonts w:ascii="Arial" w:hAnsi="Arial" w:cs="Arial"/>
          <w:sz w:val="22"/>
          <w:szCs w:val="22"/>
        </w:rPr>
        <w:t>These conditions introduce additional complexity and risk, which may have implications for HRW licensing, competency requirements, and regulatory oversight.</w:t>
      </w:r>
    </w:p>
    <w:p w14:paraId="4B0C9FAE" w14:textId="77777777" w:rsidR="00C328BF" w:rsidRPr="0022018C" w:rsidRDefault="00C328BF" w:rsidP="0010329F">
      <w:pPr>
        <w:spacing w:before="240" w:after="60"/>
        <w:rPr>
          <w:rFonts w:ascii="Arial" w:hAnsi="Arial" w:cs="Arial"/>
          <w:i/>
          <w:iCs/>
          <w:sz w:val="22"/>
          <w:szCs w:val="22"/>
        </w:rPr>
      </w:pPr>
      <w:r w:rsidRPr="0022018C">
        <w:rPr>
          <w:rFonts w:ascii="Arial" w:hAnsi="Arial" w:cs="Arial"/>
          <w:i/>
          <w:iCs/>
          <w:sz w:val="22"/>
          <w:szCs w:val="22"/>
        </w:rPr>
        <w:t>Proposed definition of dynamic crane operation</w:t>
      </w:r>
    </w:p>
    <w:p w14:paraId="3E56A423" w14:textId="77777777" w:rsidR="00C328BF" w:rsidRPr="00751DFF" w:rsidRDefault="00C328BF" w:rsidP="00C328BF">
      <w:pPr>
        <w:rPr>
          <w:rFonts w:ascii="Arial" w:hAnsi="Arial" w:cs="Arial"/>
          <w:sz w:val="22"/>
          <w:szCs w:val="22"/>
        </w:rPr>
      </w:pPr>
      <w:r w:rsidRPr="00751DFF">
        <w:rPr>
          <w:rFonts w:ascii="Arial" w:hAnsi="Arial" w:cs="Arial"/>
          <w:sz w:val="22"/>
          <w:szCs w:val="22"/>
        </w:rPr>
        <w:t xml:space="preserve">For </w:t>
      </w:r>
      <w:r>
        <w:rPr>
          <w:rFonts w:ascii="Arial" w:hAnsi="Arial" w:cs="Arial"/>
          <w:sz w:val="22"/>
          <w:szCs w:val="22"/>
        </w:rPr>
        <w:t>consultation</w:t>
      </w:r>
      <w:r w:rsidRPr="00751DFF">
        <w:rPr>
          <w:rFonts w:ascii="Arial" w:hAnsi="Arial" w:cs="Arial"/>
          <w:sz w:val="22"/>
          <w:szCs w:val="22"/>
        </w:rPr>
        <w:t xml:space="preserve"> purposes, </w:t>
      </w:r>
      <w:r w:rsidRPr="00242597">
        <w:rPr>
          <w:rFonts w:ascii="Arial" w:hAnsi="Arial" w:cs="Arial"/>
          <w:sz w:val="22"/>
          <w:szCs w:val="22"/>
        </w:rPr>
        <w:t>dynamic crane operation</w:t>
      </w:r>
      <w:r w:rsidRPr="00751DFF">
        <w:rPr>
          <w:rFonts w:ascii="Arial" w:hAnsi="Arial" w:cs="Arial"/>
          <w:sz w:val="22"/>
          <w:szCs w:val="22"/>
        </w:rPr>
        <w:t xml:space="preserve"> is described as:</w:t>
      </w:r>
    </w:p>
    <w:tbl>
      <w:tblPr>
        <w:tblStyle w:val="TableGrid"/>
        <w:tblW w:w="0" w:type="auto"/>
        <w:tblLook w:val="04A0" w:firstRow="1" w:lastRow="0" w:firstColumn="1" w:lastColumn="0" w:noHBand="0" w:noVBand="1"/>
      </w:tblPr>
      <w:tblGrid>
        <w:gridCol w:w="9060"/>
      </w:tblGrid>
      <w:tr w:rsidR="000401E4" w14:paraId="65B33074" w14:textId="77777777" w:rsidTr="000401E4">
        <w:tc>
          <w:tcPr>
            <w:tcW w:w="9060" w:type="dxa"/>
          </w:tcPr>
          <w:p w14:paraId="14ED1109" w14:textId="750646D7" w:rsidR="000401E4" w:rsidRDefault="000401E4" w:rsidP="005659EE">
            <w:pPr>
              <w:spacing w:before="60" w:after="60"/>
              <w:rPr>
                <w:rFonts w:ascii="Arial" w:hAnsi="Arial" w:cs="Arial"/>
                <w:i/>
                <w:iCs/>
                <w:sz w:val="22"/>
                <w:szCs w:val="22"/>
              </w:rPr>
            </w:pPr>
            <w:r w:rsidRPr="00751DFF">
              <w:rPr>
                <w:rFonts w:ascii="Arial" w:hAnsi="Arial" w:cs="Arial"/>
                <w:i/>
                <w:iCs/>
                <w:sz w:val="22"/>
                <w:szCs w:val="22"/>
              </w:rPr>
              <w:t>“The use of a crane to move a load where, at any time during the operation, the crane, the load, or the load landing area is subject to dynamic movement resulting from maritime conditions, including vessel motion, wave action, tidal influence, or shifting platforms associated with marine or port environments”</w:t>
            </w:r>
            <w:r w:rsidRPr="00751DFF">
              <w:rPr>
                <w:rFonts w:ascii="Arial" w:hAnsi="Arial" w:cs="Arial"/>
                <w:sz w:val="22"/>
                <w:szCs w:val="22"/>
              </w:rPr>
              <w:t>.</w:t>
            </w:r>
          </w:p>
        </w:tc>
      </w:tr>
    </w:tbl>
    <w:p w14:paraId="713365D7" w14:textId="6ABDD916" w:rsidR="00103716" w:rsidRDefault="00103716" w:rsidP="00BE6658">
      <w:pPr>
        <w:spacing w:before="120"/>
        <w:rPr>
          <w:rFonts w:ascii="Arial" w:hAnsi="Arial" w:cs="Arial"/>
          <w:sz w:val="22"/>
          <w:szCs w:val="22"/>
        </w:rPr>
      </w:pPr>
      <w:r w:rsidRPr="00103716">
        <w:rPr>
          <w:rFonts w:ascii="Arial" w:hAnsi="Arial" w:cs="Arial"/>
          <w:sz w:val="22"/>
          <w:szCs w:val="22"/>
        </w:rPr>
        <w:t>This definition aims to capture the operational complexity and safety risks associated with crane use in unstable or moving environments.</w:t>
      </w:r>
    </w:p>
    <w:p w14:paraId="4EDA31DA" w14:textId="5BCA0D6E" w:rsidR="00417333" w:rsidRPr="00417333" w:rsidRDefault="008B5658" w:rsidP="00417333">
      <w:pPr>
        <w:spacing w:before="120"/>
        <w:rPr>
          <w:rFonts w:ascii="Arial" w:hAnsi="Arial" w:cs="Arial"/>
          <w:sz w:val="22"/>
          <w:szCs w:val="22"/>
        </w:rPr>
      </w:pPr>
      <w:r w:rsidRPr="008B5658">
        <w:rPr>
          <w:rFonts w:ascii="Arial" w:hAnsi="Arial" w:cs="Arial"/>
          <w:i/>
          <w:iCs/>
          <w:sz w:val="22"/>
          <w:szCs w:val="22"/>
        </w:rPr>
        <w:t>S</w:t>
      </w:r>
      <w:r w:rsidR="00417333" w:rsidRPr="008B5658">
        <w:rPr>
          <w:rFonts w:ascii="Arial" w:hAnsi="Arial" w:cs="Arial"/>
          <w:i/>
          <w:iCs/>
          <w:sz w:val="22"/>
          <w:szCs w:val="22"/>
        </w:rPr>
        <w:t>traddle carriers</w:t>
      </w:r>
      <w:r w:rsidR="00417333" w:rsidRPr="008B5658">
        <w:rPr>
          <w:rFonts w:ascii="Arial" w:hAnsi="Arial" w:cs="Arial"/>
          <w:i/>
          <w:iCs/>
          <w:sz w:val="22"/>
          <w:szCs w:val="22"/>
        </w:rPr>
        <w:br/>
      </w:r>
      <w:r w:rsidR="00417333" w:rsidRPr="00417333">
        <w:rPr>
          <w:rFonts w:ascii="Arial" w:hAnsi="Arial" w:cs="Arial"/>
          <w:sz w:val="22"/>
          <w:szCs w:val="22"/>
        </w:rPr>
        <w:t>Straddle carriers are not included within the scope of the proposed maritime dynamic crane licence. This exclusion is intentional, as straddle carrier risks primarily relate to vehicle operation, traffic management, stability, and ground conditions, rather than dynamic movement arising from maritime conditions. These risks are therefore distinct from the crane operations considered within this consultation.</w:t>
      </w:r>
    </w:p>
    <w:p w14:paraId="228B92FB" w14:textId="77777777" w:rsidR="00EA1AD4" w:rsidRDefault="00417333" w:rsidP="00EA1AD4">
      <w:pPr>
        <w:spacing w:before="240" w:after="60"/>
        <w:rPr>
          <w:rFonts w:ascii="Arial" w:hAnsi="Arial" w:cs="Arial"/>
          <w:sz w:val="22"/>
          <w:szCs w:val="22"/>
        </w:rPr>
      </w:pPr>
      <w:r w:rsidRPr="00417333">
        <w:rPr>
          <w:rFonts w:ascii="Arial" w:hAnsi="Arial" w:cs="Arial"/>
          <w:sz w:val="22"/>
          <w:szCs w:val="22"/>
        </w:rPr>
        <w:t>The Agency recognises that the regulatory approach for straddle carriers</w:t>
      </w:r>
      <w:r w:rsidR="006018AB">
        <w:rPr>
          <w:rFonts w:ascii="Arial" w:hAnsi="Arial" w:cs="Arial"/>
          <w:sz w:val="22"/>
          <w:szCs w:val="22"/>
        </w:rPr>
        <w:t xml:space="preserve">, </w:t>
      </w:r>
      <w:r w:rsidRPr="00417333">
        <w:rPr>
          <w:rFonts w:ascii="Arial" w:hAnsi="Arial" w:cs="Arial"/>
          <w:sz w:val="22"/>
          <w:szCs w:val="22"/>
        </w:rPr>
        <w:t xml:space="preserve">including whether an appropriate HRW licensing pathway may be </w:t>
      </w:r>
      <w:r w:rsidR="00896341" w:rsidRPr="00417333">
        <w:rPr>
          <w:rFonts w:ascii="Arial" w:hAnsi="Arial" w:cs="Arial"/>
          <w:sz w:val="22"/>
          <w:szCs w:val="22"/>
        </w:rPr>
        <w:t>required</w:t>
      </w:r>
      <w:r w:rsidR="00896341">
        <w:rPr>
          <w:rFonts w:ascii="Arial" w:hAnsi="Arial" w:cs="Arial"/>
          <w:sz w:val="22"/>
          <w:szCs w:val="22"/>
        </w:rPr>
        <w:t>,</w:t>
      </w:r>
      <w:r w:rsidR="00896341" w:rsidRPr="00417333">
        <w:rPr>
          <w:rFonts w:ascii="Arial" w:hAnsi="Arial" w:cs="Arial"/>
          <w:sz w:val="22"/>
          <w:szCs w:val="22"/>
        </w:rPr>
        <w:t xml:space="preserve"> is</w:t>
      </w:r>
      <w:r w:rsidRPr="00417333">
        <w:rPr>
          <w:rFonts w:ascii="Arial" w:hAnsi="Arial" w:cs="Arial"/>
          <w:sz w:val="22"/>
          <w:szCs w:val="22"/>
        </w:rPr>
        <w:t xml:space="preserve"> an important matter</w:t>
      </w:r>
      <w:r w:rsidR="006018AB">
        <w:rPr>
          <w:rFonts w:ascii="Arial" w:hAnsi="Arial" w:cs="Arial"/>
          <w:sz w:val="22"/>
          <w:szCs w:val="22"/>
        </w:rPr>
        <w:t xml:space="preserve"> and is being considered separately to this discussion paper</w:t>
      </w:r>
      <w:r w:rsidRPr="00417333">
        <w:rPr>
          <w:rFonts w:ascii="Arial" w:hAnsi="Arial" w:cs="Arial"/>
          <w:sz w:val="22"/>
          <w:szCs w:val="22"/>
        </w:rPr>
        <w:t xml:space="preserve">. </w:t>
      </w:r>
    </w:p>
    <w:p w14:paraId="0DD209E1" w14:textId="77777777" w:rsidR="00EA1AD4" w:rsidRDefault="00EA1AD4" w:rsidP="00EA1AD4">
      <w:pPr>
        <w:spacing w:before="240" w:after="60"/>
        <w:rPr>
          <w:rFonts w:ascii="Arial" w:hAnsi="Arial" w:cs="Arial"/>
          <w:sz w:val="22"/>
          <w:szCs w:val="22"/>
        </w:rPr>
      </w:pPr>
    </w:p>
    <w:p w14:paraId="008FFD96" w14:textId="77777777" w:rsidR="00EA1AD4" w:rsidRDefault="00EA1AD4" w:rsidP="00EA1AD4">
      <w:pPr>
        <w:spacing w:before="240" w:after="60"/>
        <w:rPr>
          <w:rFonts w:ascii="Arial" w:hAnsi="Arial" w:cs="Arial"/>
          <w:sz w:val="22"/>
          <w:szCs w:val="22"/>
        </w:rPr>
      </w:pPr>
    </w:p>
    <w:p w14:paraId="3AD8CE02" w14:textId="77777777" w:rsidR="00EA1AD4" w:rsidRDefault="00BA48ED" w:rsidP="00EA1AD4">
      <w:pPr>
        <w:spacing w:before="120"/>
        <w:rPr>
          <w:rFonts w:ascii="Arial" w:hAnsi="Arial" w:cs="Arial"/>
          <w:sz w:val="22"/>
          <w:szCs w:val="22"/>
        </w:rPr>
      </w:pPr>
      <w:r w:rsidRPr="00D42E67">
        <w:rPr>
          <w:rFonts w:ascii="Arial" w:hAnsi="Arial" w:cs="Arial"/>
          <w:i/>
          <w:iCs/>
          <w:sz w:val="22"/>
          <w:szCs w:val="22"/>
        </w:rPr>
        <w:lastRenderedPageBreak/>
        <w:t>Interaction with existing</w:t>
      </w:r>
      <w:r w:rsidR="00D42E67" w:rsidRPr="00D42E67">
        <w:rPr>
          <w:rFonts w:ascii="Arial" w:hAnsi="Arial" w:cs="Arial"/>
          <w:i/>
          <w:iCs/>
          <w:sz w:val="22"/>
          <w:szCs w:val="22"/>
        </w:rPr>
        <w:t xml:space="preserve"> HRW licences classes</w:t>
      </w:r>
    </w:p>
    <w:p w14:paraId="4FEB8F91" w14:textId="330AA7EC" w:rsidR="00C96ACD" w:rsidRPr="00EA1AD4" w:rsidRDefault="00C96ACD" w:rsidP="00EA1AD4">
      <w:pPr>
        <w:spacing w:before="120"/>
        <w:rPr>
          <w:rFonts w:ascii="Arial" w:hAnsi="Arial" w:cs="Arial"/>
          <w:sz w:val="22"/>
          <w:szCs w:val="22"/>
        </w:rPr>
      </w:pPr>
      <w:r>
        <w:rPr>
          <w:rFonts w:cstheme="minorHAnsi"/>
          <w:sz w:val="22"/>
          <w:szCs w:val="22"/>
        </w:rPr>
        <w:t>The proposed</w:t>
      </w:r>
      <w:r w:rsidR="00EF1CEA" w:rsidRPr="00BC1B41">
        <w:rPr>
          <w:rFonts w:cstheme="minorHAnsi"/>
          <w:sz w:val="22"/>
          <w:szCs w:val="22"/>
        </w:rPr>
        <w:t xml:space="preserve"> new maritime-specific HRW class would </w:t>
      </w:r>
      <w:r w:rsidR="00EF1CEA">
        <w:rPr>
          <w:rFonts w:cstheme="minorHAnsi"/>
          <w:sz w:val="22"/>
          <w:szCs w:val="22"/>
        </w:rPr>
        <w:t xml:space="preserve">be </w:t>
      </w:r>
      <w:r w:rsidR="00EF1CEA" w:rsidRPr="00BC1B41">
        <w:rPr>
          <w:rFonts w:cstheme="minorHAnsi"/>
          <w:sz w:val="22"/>
          <w:szCs w:val="22"/>
        </w:rPr>
        <w:t>integrate</w:t>
      </w:r>
      <w:r w:rsidR="00EF1CEA">
        <w:rPr>
          <w:rFonts w:cstheme="minorHAnsi"/>
          <w:sz w:val="22"/>
          <w:szCs w:val="22"/>
        </w:rPr>
        <w:t>d</w:t>
      </w:r>
      <w:r w:rsidR="00EF1CEA" w:rsidRPr="00BC1B41">
        <w:rPr>
          <w:rFonts w:cstheme="minorHAnsi"/>
          <w:sz w:val="22"/>
          <w:szCs w:val="22"/>
        </w:rPr>
        <w:t xml:space="preserve"> with the current </w:t>
      </w:r>
      <w:proofErr w:type="gramStart"/>
      <w:r w:rsidR="00EF1CEA" w:rsidRPr="00BC1B41">
        <w:rPr>
          <w:rFonts w:cstheme="minorHAnsi"/>
          <w:sz w:val="22"/>
          <w:szCs w:val="22"/>
        </w:rPr>
        <w:t>framework</w:t>
      </w:r>
      <w:r w:rsidR="001246E6">
        <w:rPr>
          <w:rFonts w:cstheme="minorHAnsi"/>
          <w:sz w:val="22"/>
          <w:szCs w:val="22"/>
        </w:rPr>
        <w:t xml:space="preserve">, </w:t>
      </w:r>
      <w:r>
        <w:rPr>
          <w:rFonts w:cstheme="minorHAnsi"/>
          <w:sz w:val="22"/>
          <w:szCs w:val="22"/>
        </w:rPr>
        <w:t>and</w:t>
      </w:r>
      <w:proofErr w:type="gramEnd"/>
      <w:r>
        <w:rPr>
          <w:rFonts w:cstheme="minorHAnsi"/>
          <w:sz w:val="22"/>
          <w:szCs w:val="22"/>
        </w:rPr>
        <w:t xml:space="preserve"> aim </w:t>
      </w:r>
      <w:r w:rsidR="00EF1CEA" w:rsidRPr="00BC1B41">
        <w:rPr>
          <w:rFonts w:cstheme="minorHAnsi"/>
          <w:sz w:val="22"/>
          <w:szCs w:val="22"/>
        </w:rPr>
        <w:t xml:space="preserve">to avoid unnecessary duplication </w:t>
      </w:r>
      <w:r>
        <w:rPr>
          <w:rFonts w:cstheme="minorHAnsi"/>
          <w:sz w:val="22"/>
          <w:szCs w:val="22"/>
        </w:rPr>
        <w:t xml:space="preserve">with existing HRW licence classes </w:t>
      </w:r>
      <w:r w:rsidR="00EF1CEA" w:rsidRPr="00BC1B41">
        <w:rPr>
          <w:rFonts w:cstheme="minorHAnsi"/>
          <w:sz w:val="22"/>
          <w:szCs w:val="22"/>
        </w:rPr>
        <w:t>and ensure regulatory clarity.</w:t>
      </w:r>
      <w:r>
        <w:rPr>
          <w:rFonts w:cstheme="minorHAnsi"/>
          <w:sz w:val="22"/>
          <w:szCs w:val="22"/>
        </w:rPr>
        <w:t xml:space="preserve"> </w:t>
      </w:r>
    </w:p>
    <w:p w14:paraId="14C00D06" w14:textId="79B114FD" w:rsidR="00B312B2" w:rsidRDefault="009202C1" w:rsidP="00C328BF">
      <w:pPr>
        <w:rPr>
          <w:rFonts w:ascii="Arial" w:hAnsi="Arial" w:cs="Arial"/>
          <w:sz w:val="22"/>
          <w:szCs w:val="22"/>
        </w:rPr>
      </w:pPr>
      <w:r w:rsidRPr="00BC1B41">
        <w:rPr>
          <w:rFonts w:cstheme="minorHAnsi"/>
          <w:sz w:val="22"/>
          <w:szCs w:val="22"/>
        </w:rPr>
        <w:t>Preliminary analysis suggests that</w:t>
      </w:r>
      <w:r w:rsidR="00C55354">
        <w:rPr>
          <w:rFonts w:cstheme="minorHAnsi"/>
          <w:sz w:val="22"/>
          <w:szCs w:val="22"/>
        </w:rPr>
        <w:t>,</w:t>
      </w:r>
      <w:r w:rsidRPr="00BC1B41">
        <w:rPr>
          <w:rFonts w:cstheme="minorHAnsi"/>
          <w:sz w:val="22"/>
          <w:szCs w:val="22"/>
        </w:rPr>
        <w:t xml:space="preserve"> </w:t>
      </w:r>
      <w:r w:rsidR="00C55354">
        <w:rPr>
          <w:rFonts w:cstheme="minorHAnsi"/>
          <w:sz w:val="22"/>
          <w:szCs w:val="22"/>
        </w:rPr>
        <w:t xml:space="preserve">in implementing </w:t>
      </w:r>
      <w:r w:rsidR="00A2589E">
        <w:rPr>
          <w:rFonts w:cstheme="minorHAnsi"/>
          <w:sz w:val="22"/>
          <w:szCs w:val="22"/>
        </w:rPr>
        <w:t xml:space="preserve">either approach under </w:t>
      </w:r>
      <w:r w:rsidR="00C55354">
        <w:rPr>
          <w:rFonts w:cstheme="minorHAnsi"/>
          <w:sz w:val="22"/>
          <w:szCs w:val="22"/>
        </w:rPr>
        <w:t xml:space="preserve">this option, </w:t>
      </w:r>
      <w:r w:rsidRPr="00BC1B41">
        <w:rPr>
          <w:rFonts w:cstheme="minorHAnsi"/>
          <w:sz w:val="22"/>
          <w:szCs w:val="22"/>
        </w:rPr>
        <w:t xml:space="preserve">some crane operations may require </w:t>
      </w:r>
      <w:r w:rsidRPr="00BC1B41">
        <w:rPr>
          <w:rFonts w:cstheme="minorHAnsi"/>
          <w:b/>
          <w:bCs/>
          <w:sz w:val="22"/>
          <w:szCs w:val="22"/>
        </w:rPr>
        <w:t>dual licensing</w:t>
      </w:r>
      <w:r w:rsidRPr="00BC1B41">
        <w:rPr>
          <w:rFonts w:cstheme="minorHAnsi"/>
          <w:sz w:val="22"/>
          <w:szCs w:val="22"/>
        </w:rPr>
        <w:t xml:space="preserve">—for both the crane type and the maritime context. For example, operating a tower crane on a vessel may require both the existing tower crane HRW licence and the </w:t>
      </w:r>
      <w:r w:rsidR="00280829">
        <w:rPr>
          <w:rFonts w:cstheme="minorHAnsi"/>
          <w:sz w:val="22"/>
          <w:szCs w:val="22"/>
        </w:rPr>
        <w:t xml:space="preserve">newly </w:t>
      </w:r>
      <w:r w:rsidRPr="00BC1B41">
        <w:rPr>
          <w:rFonts w:cstheme="minorHAnsi"/>
          <w:sz w:val="22"/>
          <w:szCs w:val="22"/>
        </w:rPr>
        <w:t>proposed maritime crane licence.</w:t>
      </w:r>
      <w:r w:rsidR="00F1555E" w:rsidRPr="00F1555E">
        <w:t xml:space="preserve"> </w:t>
      </w:r>
      <w:r w:rsidR="00F1555E" w:rsidRPr="00F1555E">
        <w:rPr>
          <w:rFonts w:cstheme="minorHAnsi"/>
          <w:sz w:val="22"/>
          <w:szCs w:val="22"/>
        </w:rPr>
        <w:t xml:space="preserve">Dual licensing would help ensure operators have the necessary training and competencies to manage both </w:t>
      </w:r>
      <w:r w:rsidR="00987F57">
        <w:rPr>
          <w:rFonts w:cstheme="minorHAnsi"/>
          <w:sz w:val="22"/>
          <w:szCs w:val="22"/>
        </w:rPr>
        <w:t>the crane specific risks</w:t>
      </w:r>
      <w:r w:rsidR="00F1555E" w:rsidRPr="00F1555E">
        <w:rPr>
          <w:rFonts w:cstheme="minorHAnsi"/>
          <w:sz w:val="22"/>
          <w:szCs w:val="22"/>
        </w:rPr>
        <w:t xml:space="preserve"> </w:t>
      </w:r>
      <w:proofErr w:type="gramStart"/>
      <w:r w:rsidR="00F1555E" w:rsidRPr="00F1555E">
        <w:rPr>
          <w:rFonts w:cstheme="minorHAnsi"/>
          <w:sz w:val="22"/>
          <w:szCs w:val="22"/>
        </w:rPr>
        <w:t xml:space="preserve">and </w:t>
      </w:r>
      <w:r w:rsidR="00987F57">
        <w:rPr>
          <w:rFonts w:cstheme="minorHAnsi"/>
          <w:sz w:val="22"/>
          <w:szCs w:val="22"/>
        </w:rPr>
        <w:t>also</w:t>
      </w:r>
      <w:proofErr w:type="gramEnd"/>
      <w:r w:rsidR="00987F57">
        <w:rPr>
          <w:rFonts w:cstheme="minorHAnsi"/>
          <w:sz w:val="22"/>
          <w:szCs w:val="22"/>
        </w:rPr>
        <w:t xml:space="preserve"> the risks of conducting lifting operations in dynamic </w:t>
      </w:r>
      <w:r w:rsidR="00F1555E" w:rsidRPr="00F1555E">
        <w:rPr>
          <w:rFonts w:cstheme="minorHAnsi"/>
          <w:sz w:val="22"/>
          <w:szCs w:val="22"/>
        </w:rPr>
        <w:t>maritime</w:t>
      </w:r>
      <w:r w:rsidR="00987F57">
        <w:rPr>
          <w:rFonts w:cstheme="minorHAnsi"/>
          <w:sz w:val="22"/>
          <w:szCs w:val="22"/>
        </w:rPr>
        <w:t xml:space="preserve"> </w:t>
      </w:r>
      <w:r w:rsidR="00843005">
        <w:rPr>
          <w:rFonts w:cstheme="minorHAnsi"/>
          <w:sz w:val="22"/>
          <w:szCs w:val="22"/>
        </w:rPr>
        <w:t>environments</w:t>
      </w:r>
      <w:r w:rsidR="00F1555E" w:rsidRPr="00F1555E">
        <w:rPr>
          <w:rFonts w:cstheme="minorHAnsi"/>
          <w:sz w:val="22"/>
          <w:szCs w:val="22"/>
        </w:rPr>
        <w:t>, supporting improved safety outcomes and addressing current gaps in regulatory clarity.</w:t>
      </w:r>
    </w:p>
    <w:p w14:paraId="082980A5" w14:textId="45D95D43" w:rsidR="00C328BF" w:rsidRDefault="00C328BF" w:rsidP="00C328BF">
      <w:pPr>
        <w:rPr>
          <w:rFonts w:ascii="Arial" w:hAnsi="Arial" w:cs="Arial"/>
          <w:sz w:val="22"/>
          <w:szCs w:val="22"/>
        </w:rPr>
      </w:pPr>
      <w:r w:rsidRPr="00751DFF">
        <w:rPr>
          <w:rFonts w:ascii="Arial" w:hAnsi="Arial" w:cs="Arial"/>
          <w:sz w:val="22"/>
          <w:szCs w:val="22"/>
        </w:rPr>
        <w:t xml:space="preserve">The following questions seek stakeholder views on the merits of </w:t>
      </w:r>
      <w:r w:rsidR="00C55354">
        <w:rPr>
          <w:rFonts w:ascii="Arial" w:hAnsi="Arial" w:cs="Arial"/>
          <w:sz w:val="22"/>
          <w:szCs w:val="22"/>
        </w:rPr>
        <w:t>different</w:t>
      </w:r>
      <w:r w:rsidR="00C55354" w:rsidRPr="00751DFF">
        <w:rPr>
          <w:rFonts w:ascii="Arial" w:hAnsi="Arial" w:cs="Arial"/>
          <w:sz w:val="22"/>
          <w:szCs w:val="22"/>
        </w:rPr>
        <w:t xml:space="preserve"> </w:t>
      </w:r>
      <w:r w:rsidRPr="00751DFF">
        <w:rPr>
          <w:rFonts w:ascii="Arial" w:hAnsi="Arial" w:cs="Arial"/>
          <w:sz w:val="22"/>
          <w:szCs w:val="22"/>
        </w:rPr>
        <w:t>approach</w:t>
      </w:r>
      <w:r>
        <w:rPr>
          <w:rFonts w:ascii="Arial" w:hAnsi="Arial" w:cs="Arial"/>
          <w:sz w:val="22"/>
          <w:szCs w:val="22"/>
        </w:rPr>
        <w:t>es</w:t>
      </w:r>
      <w:r w:rsidRPr="00751DFF">
        <w:rPr>
          <w:rFonts w:ascii="Arial" w:hAnsi="Arial" w:cs="Arial"/>
          <w:sz w:val="22"/>
          <w:szCs w:val="22"/>
        </w:rPr>
        <w:t xml:space="preserve"> </w:t>
      </w:r>
      <w:r w:rsidR="00C55354">
        <w:rPr>
          <w:rFonts w:ascii="Arial" w:hAnsi="Arial" w:cs="Arial"/>
          <w:sz w:val="22"/>
          <w:szCs w:val="22"/>
        </w:rPr>
        <w:t xml:space="preserve">to licensing proposed </w:t>
      </w:r>
      <w:r w:rsidRPr="00751DFF">
        <w:rPr>
          <w:rFonts w:ascii="Arial" w:hAnsi="Arial" w:cs="Arial"/>
          <w:sz w:val="22"/>
          <w:szCs w:val="22"/>
        </w:rPr>
        <w:t xml:space="preserve">and </w:t>
      </w:r>
      <w:r>
        <w:rPr>
          <w:rFonts w:ascii="Arial" w:hAnsi="Arial" w:cs="Arial"/>
          <w:sz w:val="22"/>
          <w:szCs w:val="22"/>
        </w:rPr>
        <w:t xml:space="preserve">their </w:t>
      </w:r>
      <w:r w:rsidRPr="00751DFF">
        <w:rPr>
          <w:rFonts w:ascii="Arial" w:hAnsi="Arial" w:cs="Arial"/>
          <w:sz w:val="22"/>
          <w:szCs w:val="22"/>
        </w:rPr>
        <w:t>practical implications.</w:t>
      </w:r>
    </w:p>
    <w:tbl>
      <w:tblPr>
        <w:tblStyle w:val="TableGrid"/>
        <w:tblW w:w="0" w:type="auto"/>
        <w:tblLook w:val="04A0" w:firstRow="1" w:lastRow="0" w:firstColumn="1" w:lastColumn="0" w:noHBand="0" w:noVBand="1"/>
      </w:tblPr>
      <w:tblGrid>
        <w:gridCol w:w="9016"/>
      </w:tblGrid>
      <w:tr w:rsidR="008E30AF" w:rsidRPr="00DE6CC2" w14:paraId="50C21910" w14:textId="77777777" w:rsidTr="00EF1CEA">
        <w:tc>
          <w:tcPr>
            <w:tcW w:w="9016" w:type="dxa"/>
            <w:shd w:val="clear" w:color="auto" w:fill="D5B8EA"/>
          </w:tcPr>
          <w:p w14:paraId="615D3B8A" w14:textId="77777777" w:rsidR="008E30AF" w:rsidRPr="00DE6CC2" w:rsidRDefault="008E30AF" w:rsidP="0059110E">
            <w:pPr>
              <w:spacing w:before="120" w:after="120"/>
              <w:rPr>
                <w:rFonts w:ascii="Arial" w:hAnsi="Arial" w:cs="Arial"/>
                <w:sz w:val="28"/>
                <w:szCs w:val="28"/>
              </w:rPr>
            </w:pPr>
            <w:r w:rsidRPr="00DE6CC2">
              <w:rPr>
                <w:rFonts w:ascii="Arial" w:hAnsi="Arial" w:cs="Arial"/>
                <w:b/>
                <w:bCs/>
                <w:color w:val="000000" w:themeColor="text1"/>
                <w:sz w:val="28"/>
                <w:szCs w:val="28"/>
              </w:rPr>
              <w:t>Discussion questions</w:t>
            </w:r>
          </w:p>
        </w:tc>
      </w:tr>
      <w:tr w:rsidR="00F7323F" w:rsidRPr="00DE6CC2" w14:paraId="24ACFCD8" w14:textId="77777777" w:rsidTr="00AC5E2E">
        <w:trPr>
          <w:trHeight w:val="1270"/>
        </w:trPr>
        <w:tc>
          <w:tcPr>
            <w:tcW w:w="9016" w:type="dxa"/>
            <w:shd w:val="clear" w:color="auto" w:fill="EADBF5"/>
          </w:tcPr>
          <w:p w14:paraId="53D7953A" w14:textId="77777777" w:rsidR="00F7323F" w:rsidRPr="001A1271" w:rsidRDefault="00F7323F" w:rsidP="0059110E">
            <w:pPr>
              <w:spacing w:before="120" w:after="60" w:line="264" w:lineRule="auto"/>
              <w:rPr>
                <w:rFonts w:ascii="Arial" w:hAnsi="Arial" w:cs="Arial"/>
                <w:sz w:val="22"/>
                <w:szCs w:val="22"/>
                <w:u w:val="single"/>
              </w:rPr>
            </w:pPr>
            <w:r w:rsidRPr="001A1271">
              <w:rPr>
                <w:rFonts w:ascii="Arial" w:hAnsi="Arial" w:cs="Arial"/>
                <w:sz w:val="22"/>
                <w:szCs w:val="22"/>
                <w:u w:val="single"/>
              </w:rPr>
              <w:t>Support and implementation</w:t>
            </w:r>
          </w:p>
          <w:p w14:paraId="63146A38" w14:textId="77777777" w:rsidR="002A014F" w:rsidRPr="00CE0232" w:rsidRDefault="00F7323F" w:rsidP="00406102">
            <w:pPr>
              <w:pStyle w:val="ListParagraph"/>
              <w:numPr>
                <w:ilvl w:val="0"/>
                <w:numId w:val="17"/>
              </w:numPr>
              <w:ind w:left="357" w:hanging="357"/>
              <w:contextualSpacing w:val="0"/>
              <w:rPr>
                <w:rFonts w:ascii="Arial" w:hAnsi="Arial" w:cs="Arial"/>
                <w:sz w:val="22"/>
                <w:szCs w:val="22"/>
              </w:rPr>
            </w:pPr>
            <w:r w:rsidRPr="008B78E4">
              <w:rPr>
                <w:rFonts w:ascii="Arial" w:hAnsi="Arial" w:cs="Arial"/>
                <w:b/>
                <w:bCs/>
                <w:sz w:val="22"/>
                <w:szCs w:val="22"/>
              </w:rPr>
              <w:t>Do you support introducing a new HRW class for maritime crane operations?</w:t>
            </w:r>
          </w:p>
          <w:p w14:paraId="3B0CD316" w14:textId="42F982C7" w:rsidR="00CE0232" w:rsidRPr="00CE0232" w:rsidRDefault="00CE0232" w:rsidP="00406102">
            <w:pPr>
              <w:spacing w:after="120"/>
              <w:ind w:firstLine="448"/>
              <w:rPr>
                <w:rFonts w:ascii="Arial" w:hAnsi="Arial" w:cs="Arial"/>
                <w:sz w:val="22"/>
                <w:szCs w:val="22"/>
              </w:rPr>
            </w:pPr>
            <w:r>
              <w:rPr>
                <w:rFonts w:ascii="Arial" w:hAnsi="Arial" w:cs="Arial"/>
                <w:sz w:val="22"/>
                <w:szCs w:val="22"/>
              </w:rPr>
              <w:t>Why</w:t>
            </w:r>
            <w:r w:rsidR="00406102">
              <w:rPr>
                <w:rFonts w:ascii="Arial" w:hAnsi="Arial" w:cs="Arial"/>
                <w:sz w:val="22"/>
                <w:szCs w:val="22"/>
              </w:rPr>
              <w:t xml:space="preserve"> or why not?</w:t>
            </w:r>
          </w:p>
          <w:p w14:paraId="48BFABEF" w14:textId="77777777" w:rsidR="00D7645B" w:rsidRPr="00D7645B" w:rsidRDefault="00BD2E10" w:rsidP="001019DC">
            <w:pPr>
              <w:pStyle w:val="ListParagraph"/>
              <w:numPr>
                <w:ilvl w:val="0"/>
                <w:numId w:val="17"/>
              </w:numPr>
              <w:spacing w:after="120"/>
              <w:ind w:left="357" w:hanging="357"/>
              <w:contextualSpacing w:val="0"/>
              <w:rPr>
                <w:rFonts w:ascii="Arial" w:hAnsi="Arial" w:cs="Arial"/>
                <w:sz w:val="22"/>
                <w:szCs w:val="22"/>
              </w:rPr>
            </w:pPr>
            <w:r>
              <w:rPr>
                <w:rFonts w:ascii="Arial" w:hAnsi="Arial" w:cs="Arial"/>
                <w:b/>
                <w:bCs/>
                <w:sz w:val="22"/>
                <w:szCs w:val="22"/>
              </w:rPr>
              <w:t>If a new HRW class was introduced</w:t>
            </w:r>
            <w:r w:rsidR="00D7645B">
              <w:rPr>
                <w:rFonts w:ascii="Arial" w:hAnsi="Arial" w:cs="Arial"/>
                <w:b/>
                <w:bCs/>
                <w:sz w:val="22"/>
                <w:szCs w:val="22"/>
              </w:rPr>
              <w:t xml:space="preserve">, should it </w:t>
            </w:r>
            <w:r w:rsidR="00F7323F" w:rsidRPr="002A014F">
              <w:rPr>
                <w:rFonts w:ascii="Arial" w:hAnsi="Arial" w:cs="Arial"/>
                <w:b/>
                <w:bCs/>
                <w:sz w:val="22"/>
                <w:szCs w:val="22"/>
              </w:rPr>
              <w:t>apply to</w:t>
            </w:r>
            <w:r w:rsidR="00D7645B">
              <w:rPr>
                <w:rFonts w:ascii="Arial" w:hAnsi="Arial" w:cs="Arial"/>
                <w:b/>
                <w:bCs/>
                <w:sz w:val="22"/>
                <w:szCs w:val="22"/>
              </w:rPr>
              <w:t>:</w:t>
            </w:r>
          </w:p>
          <w:p w14:paraId="5CAA1D87" w14:textId="0FCF17E9" w:rsidR="003A14F8" w:rsidRPr="003A14F8" w:rsidRDefault="009D7A1B" w:rsidP="00157800">
            <w:pPr>
              <w:pStyle w:val="ListParagraph"/>
              <w:numPr>
                <w:ilvl w:val="1"/>
                <w:numId w:val="28"/>
              </w:numPr>
              <w:ind w:left="731" w:hanging="425"/>
              <w:rPr>
                <w:rFonts w:ascii="Arial" w:hAnsi="Arial" w:cs="Arial"/>
                <w:sz w:val="22"/>
                <w:szCs w:val="22"/>
              </w:rPr>
            </w:pPr>
            <w:r w:rsidRPr="004512A8">
              <w:rPr>
                <w:rFonts w:ascii="Arial" w:hAnsi="Arial" w:cs="Arial"/>
                <w:b/>
                <w:bCs/>
                <w:i/>
                <w:iCs/>
                <w:sz w:val="22"/>
                <w:szCs w:val="22"/>
              </w:rPr>
              <w:t>dynamic lifting workplace</w:t>
            </w:r>
            <w:r w:rsidR="00673A0C">
              <w:rPr>
                <w:rFonts w:ascii="Arial" w:hAnsi="Arial" w:cs="Arial"/>
                <w:b/>
                <w:bCs/>
                <w:i/>
                <w:iCs/>
                <w:sz w:val="22"/>
                <w:szCs w:val="22"/>
              </w:rPr>
              <w:t>s (location based)</w:t>
            </w:r>
            <w:r w:rsidR="008D7268" w:rsidRPr="00896341">
              <w:rPr>
                <w:rFonts w:ascii="Arial" w:hAnsi="Arial" w:cs="Arial"/>
                <w:sz w:val="22"/>
                <w:szCs w:val="22"/>
              </w:rPr>
              <w:t>, or</w:t>
            </w:r>
          </w:p>
          <w:p w14:paraId="1EF94E2E" w14:textId="6987E045" w:rsidR="009D7A1B" w:rsidRDefault="009D7A1B" w:rsidP="00157800">
            <w:pPr>
              <w:pStyle w:val="ListParagraph"/>
              <w:numPr>
                <w:ilvl w:val="1"/>
                <w:numId w:val="28"/>
              </w:numPr>
              <w:ind w:left="731" w:hanging="425"/>
            </w:pPr>
            <w:r w:rsidRPr="004512A8">
              <w:rPr>
                <w:rFonts w:ascii="Arial" w:hAnsi="Arial" w:cs="Arial"/>
                <w:b/>
                <w:bCs/>
                <w:i/>
                <w:iCs/>
                <w:sz w:val="22"/>
                <w:szCs w:val="22"/>
              </w:rPr>
              <w:t>dynamic crane operations</w:t>
            </w:r>
            <w:r w:rsidR="00673A0C">
              <w:rPr>
                <w:rFonts w:ascii="Arial" w:hAnsi="Arial" w:cs="Arial"/>
                <w:b/>
                <w:bCs/>
                <w:i/>
                <w:iCs/>
                <w:sz w:val="22"/>
                <w:szCs w:val="22"/>
              </w:rPr>
              <w:t xml:space="preserve"> (activity based)</w:t>
            </w:r>
          </w:p>
          <w:p w14:paraId="1084C28A" w14:textId="39A235DE" w:rsidR="00F7323F" w:rsidRPr="00250843" w:rsidRDefault="00F7323F" w:rsidP="00250843">
            <w:pPr>
              <w:spacing w:after="120"/>
              <w:ind w:left="306"/>
              <w:rPr>
                <w:rFonts w:ascii="Arial" w:hAnsi="Arial" w:cs="Arial"/>
                <w:sz w:val="22"/>
                <w:szCs w:val="22"/>
              </w:rPr>
            </w:pPr>
            <w:r w:rsidRPr="00250843">
              <w:rPr>
                <w:rFonts w:ascii="Arial" w:hAnsi="Arial" w:cs="Arial"/>
                <w:sz w:val="22"/>
                <w:szCs w:val="22"/>
              </w:rPr>
              <w:t>Please explain your position and provide evidence where possible.</w:t>
            </w:r>
          </w:p>
          <w:p w14:paraId="3D1C1482" w14:textId="5F024295" w:rsidR="00F7323F" w:rsidRPr="00C133EC" w:rsidRDefault="00F7323F" w:rsidP="00E5373D">
            <w:pPr>
              <w:pStyle w:val="ListParagraph"/>
              <w:numPr>
                <w:ilvl w:val="0"/>
                <w:numId w:val="17"/>
              </w:numPr>
              <w:shd w:val="clear" w:color="auto" w:fill="EADBF5"/>
              <w:spacing w:after="120"/>
              <w:ind w:left="357" w:hanging="357"/>
              <w:contextualSpacing w:val="0"/>
              <w:rPr>
                <w:rFonts w:ascii="Arial" w:hAnsi="Arial" w:cs="Arial"/>
                <w:b/>
                <w:bCs/>
                <w:sz w:val="22"/>
                <w:szCs w:val="22"/>
              </w:rPr>
            </w:pPr>
            <w:r w:rsidRPr="001A1271">
              <w:rPr>
                <w:rFonts w:ascii="Arial" w:hAnsi="Arial" w:cs="Arial"/>
                <w:b/>
                <w:bCs/>
                <w:sz w:val="22"/>
                <w:szCs w:val="22"/>
              </w:rPr>
              <w:t xml:space="preserve">What impact would </w:t>
            </w:r>
            <w:r w:rsidR="004255DD">
              <w:rPr>
                <w:rFonts w:ascii="Arial" w:hAnsi="Arial" w:cs="Arial"/>
                <w:b/>
                <w:bCs/>
                <w:sz w:val="22"/>
                <w:szCs w:val="22"/>
              </w:rPr>
              <w:t xml:space="preserve">each </w:t>
            </w:r>
            <w:r w:rsidR="00E319F0">
              <w:rPr>
                <w:rFonts w:ascii="Arial" w:hAnsi="Arial" w:cs="Arial"/>
                <w:b/>
                <w:bCs/>
                <w:sz w:val="22"/>
                <w:szCs w:val="22"/>
              </w:rPr>
              <w:t xml:space="preserve">approach under this option </w:t>
            </w:r>
            <w:r w:rsidR="004255DD">
              <w:rPr>
                <w:rFonts w:ascii="Arial" w:hAnsi="Arial" w:cs="Arial"/>
                <w:b/>
                <w:bCs/>
                <w:sz w:val="22"/>
                <w:szCs w:val="22"/>
              </w:rPr>
              <w:t xml:space="preserve">have </w:t>
            </w:r>
            <w:r>
              <w:rPr>
                <w:rFonts w:ascii="Arial" w:hAnsi="Arial" w:cs="Arial"/>
                <w:b/>
                <w:bCs/>
                <w:sz w:val="22"/>
                <w:szCs w:val="22"/>
              </w:rPr>
              <w:t>for</w:t>
            </w:r>
            <w:r w:rsidRPr="001A1271">
              <w:rPr>
                <w:rFonts w:ascii="Arial" w:hAnsi="Arial" w:cs="Arial"/>
                <w:b/>
                <w:bCs/>
                <w:sz w:val="22"/>
                <w:szCs w:val="22"/>
              </w:rPr>
              <w:t xml:space="preserve"> you and your organisation?</w:t>
            </w:r>
            <w:r w:rsidRPr="001A1271">
              <w:rPr>
                <w:rFonts w:ascii="Arial" w:hAnsi="Arial" w:cs="Arial"/>
                <w:sz w:val="22"/>
                <w:szCs w:val="22"/>
              </w:rPr>
              <w:br/>
              <w:t>Consider safety outcomes, WHS improvements, business costs, and any other significant impacts</w:t>
            </w:r>
            <w:r w:rsidR="001B3DBF">
              <w:rPr>
                <w:rFonts w:ascii="Arial" w:hAnsi="Arial" w:cs="Arial"/>
                <w:sz w:val="22"/>
                <w:szCs w:val="22"/>
              </w:rPr>
              <w:t xml:space="preserve">, including </w:t>
            </w:r>
            <w:r w:rsidR="00C2493C">
              <w:rPr>
                <w:rFonts w:ascii="Arial" w:hAnsi="Arial" w:cs="Arial"/>
                <w:sz w:val="22"/>
                <w:szCs w:val="22"/>
              </w:rPr>
              <w:t>the impact of potential d</w:t>
            </w:r>
            <w:r w:rsidR="001B3DBF">
              <w:rPr>
                <w:rFonts w:ascii="Arial" w:hAnsi="Arial" w:cs="Arial"/>
                <w:sz w:val="22"/>
                <w:szCs w:val="22"/>
              </w:rPr>
              <w:t>ual licensing.</w:t>
            </w:r>
          </w:p>
          <w:p w14:paraId="75040AE1" w14:textId="00AA79A9" w:rsidR="005C4E65" w:rsidRPr="00C133EC" w:rsidRDefault="00D038FB" w:rsidP="00C133EC">
            <w:pPr>
              <w:pStyle w:val="ListParagraph"/>
              <w:numPr>
                <w:ilvl w:val="0"/>
                <w:numId w:val="17"/>
              </w:numPr>
              <w:shd w:val="clear" w:color="auto" w:fill="EADBF5"/>
              <w:spacing w:after="120"/>
              <w:ind w:left="357" w:hanging="357"/>
              <w:contextualSpacing w:val="0"/>
              <w:rPr>
                <w:rFonts w:ascii="Arial" w:hAnsi="Arial" w:cs="Arial"/>
                <w:sz w:val="22"/>
                <w:szCs w:val="22"/>
              </w:rPr>
            </w:pPr>
            <w:r w:rsidRPr="00C133EC">
              <w:rPr>
                <w:rFonts w:ascii="Arial" w:hAnsi="Arial" w:cs="Arial"/>
                <w:b/>
                <w:bCs/>
                <w:sz w:val="22"/>
                <w:szCs w:val="22"/>
              </w:rPr>
              <w:t>Would further regulatory amendments be required to support the implementation of a new maritime</w:t>
            </w:r>
            <w:r w:rsidRPr="00C133EC">
              <w:rPr>
                <w:rFonts w:ascii="Arial" w:hAnsi="Arial" w:cs="Arial"/>
                <w:b/>
                <w:bCs/>
                <w:sz w:val="22"/>
                <w:szCs w:val="22"/>
              </w:rPr>
              <w:noBreakHyphen/>
              <w:t>specific HRW licence?</w:t>
            </w:r>
            <w:r w:rsidR="006A33B7" w:rsidRPr="00C133EC">
              <w:rPr>
                <w:rFonts w:ascii="Arial" w:hAnsi="Arial" w:cs="Arial"/>
                <w:b/>
                <w:bCs/>
                <w:sz w:val="22"/>
                <w:szCs w:val="22"/>
              </w:rPr>
              <w:t xml:space="preserve"> </w:t>
            </w:r>
            <w:r w:rsidR="006A33B7" w:rsidRPr="00C133EC">
              <w:rPr>
                <w:rFonts w:ascii="Arial" w:hAnsi="Arial" w:cs="Arial"/>
                <w:sz w:val="22"/>
                <w:szCs w:val="22"/>
              </w:rPr>
              <w:t>If so,</w:t>
            </w:r>
            <w:r w:rsidR="006018AB">
              <w:rPr>
                <w:rFonts w:ascii="Arial" w:hAnsi="Arial" w:cs="Arial"/>
                <w:sz w:val="22"/>
                <w:szCs w:val="22"/>
              </w:rPr>
              <w:t xml:space="preserve"> </w:t>
            </w:r>
            <w:r w:rsidR="00C133EC" w:rsidRPr="00C133EC">
              <w:rPr>
                <w:rFonts w:ascii="Arial" w:hAnsi="Arial" w:cs="Arial"/>
                <w:sz w:val="22"/>
                <w:szCs w:val="22"/>
              </w:rPr>
              <w:t>what changes might be necessary and why?</w:t>
            </w:r>
          </w:p>
          <w:p w14:paraId="50243C63" w14:textId="410CF6F5" w:rsidR="00F7323F" w:rsidRPr="001A1271" w:rsidRDefault="00F7323F" w:rsidP="0059110E">
            <w:pPr>
              <w:spacing w:before="120" w:after="60" w:line="264" w:lineRule="auto"/>
              <w:rPr>
                <w:rFonts w:ascii="Arial" w:hAnsi="Arial" w:cs="Arial"/>
                <w:sz w:val="22"/>
                <w:szCs w:val="22"/>
                <w:u w:val="single"/>
              </w:rPr>
            </w:pPr>
            <w:r w:rsidRPr="001A1271">
              <w:rPr>
                <w:rFonts w:ascii="Arial" w:hAnsi="Arial" w:cs="Arial"/>
                <w:sz w:val="22"/>
                <w:szCs w:val="22"/>
                <w:u w:val="single"/>
              </w:rPr>
              <w:t>Training and assessment</w:t>
            </w:r>
          </w:p>
          <w:p w14:paraId="192D785C" w14:textId="77777777" w:rsidR="00F7323F" w:rsidRPr="00634992" w:rsidRDefault="00F7323F" w:rsidP="00B679E6">
            <w:pPr>
              <w:pStyle w:val="ListParagraph"/>
              <w:numPr>
                <w:ilvl w:val="0"/>
                <w:numId w:val="17"/>
              </w:numPr>
              <w:shd w:val="clear" w:color="auto" w:fill="EADBF5"/>
              <w:spacing w:after="60"/>
              <w:ind w:left="357" w:hanging="357"/>
              <w:contextualSpacing w:val="0"/>
              <w:rPr>
                <w:rFonts w:ascii="Arial" w:hAnsi="Arial" w:cs="Arial"/>
                <w:sz w:val="22"/>
                <w:szCs w:val="22"/>
                <w:u w:val="single"/>
              </w:rPr>
            </w:pPr>
            <w:r>
              <w:rPr>
                <w:rFonts w:ascii="Arial" w:hAnsi="Arial" w:cs="Arial"/>
                <w:b/>
                <w:bCs/>
                <w:sz w:val="22"/>
                <w:szCs w:val="22"/>
              </w:rPr>
              <w:t>What additional competencies or training should be included in a maritime-specific HRW framework?</w:t>
            </w:r>
          </w:p>
          <w:p w14:paraId="006F2576" w14:textId="77777777" w:rsidR="00F7323F" w:rsidRPr="0011430A" w:rsidRDefault="00F7323F" w:rsidP="002E3608">
            <w:pPr>
              <w:shd w:val="clear" w:color="auto" w:fill="EADBF5"/>
              <w:spacing w:after="120"/>
              <w:ind w:left="306"/>
              <w:rPr>
                <w:rFonts w:ascii="Arial" w:hAnsi="Arial" w:cs="Arial"/>
                <w:sz w:val="22"/>
                <w:szCs w:val="22"/>
              </w:rPr>
            </w:pPr>
            <w:r w:rsidRPr="0011430A">
              <w:rPr>
                <w:rFonts w:ascii="Arial" w:hAnsi="Arial" w:cs="Arial"/>
                <w:sz w:val="22"/>
                <w:szCs w:val="22"/>
              </w:rPr>
              <w:t>For example, could the Stevedoring Ship Mounted Crane Skill Set (TLISS00177)</w:t>
            </w:r>
            <w:r>
              <w:rPr>
                <w:rFonts w:ascii="Arial" w:hAnsi="Arial" w:cs="Arial"/>
                <w:sz w:val="22"/>
                <w:szCs w:val="22"/>
              </w:rPr>
              <w:t xml:space="preserve"> or Operate Offshore Cranes (PMASUP305) serve as useful foundations for the development of a training course?</w:t>
            </w:r>
          </w:p>
          <w:p w14:paraId="42FCD0A5" w14:textId="77777777" w:rsidR="00F7323F" w:rsidRPr="00B07A96" w:rsidRDefault="00F7323F" w:rsidP="00DF494C">
            <w:pPr>
              <w:pStyle w:val="ListParagraph"/>
              <w:numPr>
                <w:ilvl w:val="0"/>
                <w:numId w:val="17"/>
              </w:numPr>
              <w:shd w:val="clear" w:color="auto" w:fill="EADBF5"/>
              <w:spacing w:after="120"/>
              <w:ind w:left="357" w:hanging="357"/>
              <w:contextualSpacing w:val="0"/>
              <w:rPr>
                <w:rFonts w:ascii="Arial" w:hAnsi="Arial" w:cs="Arial"/>
                <w:sz w:val="22"/>
                <w:szCs w:val="22"/>
              </w:rPr>
            </w:pPr>
            <w:r w:rsidRPr="00B07A96">
              <w:rPr>
                <w:rFonts w:ascii="Arial" w:hAnsi="Arial" w:cs="Arial"/>
                <w:b/>
                <w:bCs/>
                <w:sz w:val="22"/>
                <w:szCs w:val="22"/>
              </w:rPr>
              <w:t>Would access to diverse crane types and maritime locations be a barrier to effective training delivery?</w:t>
            </w:r>
            <w:r>
              <w:rPr>
                <w:rFonts w:ascii="Arial" w:hAnsi="Arial" w:cs="Arial"/>
                <w:b/>
                <w:bCs/>
                <w:sz w:val="22"/>
                <w:szCs w:val="22"/>
              </w:rPr>
              <w:t xml:space="preserve"> </w:t>
            </w:r>
            <w:r>
              <w:rPr>
                <w:rFonts w:ascii="Arial" w:hAnsi="Arial" w:cs="Arial"/>
                <w:sz w:val="22"/>
                <w:szCs w:val="22"/>
              </w:rPr>
              <w:t>Or could simulators be used for training and assessment purposes?</w:t>
            </w:r>
          </w:p>
          <w:p w14:paraId="77DD2D4B" w14:textId="77777777" w:rsidR="00F7323F" w:rsidRPr="001A1271" w:rsidRDefault="00F7323F" w:rsidP="00DF494C">
            <w:pPr>
              <w:pStyle w:val="ListParagraph"/>
              <w:numPr>
                <w:ilvl w:val="0"/>
                <w:numId w:val="17"/>
              </w:numPr>
              <w:shd w:val="clear" w:color="auto" w:fill="EADBF5"/>
              <w:spacing w:after="120"/>
              <w:ind w:left="357" w:hanging="357"/>
              <w:contextualSpacing w:val="0"/>
              <w:rPr>
                <w:rFonts w:ascii="Arial" w:hAnsi="Arial" w:cs="Arial"/>
                <w:sz w:val="22"/>
                <w:szCs w:val="22"/>
                <w:u w:val="single"/>
              </w:rPr>
            </w:pPr>
            <w:r w:rsidRPr="001A1271">
              <w:rPr>
                <w:rFonts w:ascii="Arial" w:hAnsi="Arial" w:cs="Arial"/>
                <w:b/>
                <w:bCs/>
                <w:sz w:val="22"/>
                <w:szCs w:val="22"/>
              </w:rPr>
              <w:t>What considerations or challenges might arise in developing and maintaining training and assessment frameworks for this option?</w:t>
            </w:r>
            <w:r w:rsidRPr="001A1271">
              <w:rPr>
                <w:rFonts w:ascii="Arial" w:hAnsi="Arial" w:cs="Arial"/>
                <w:b/>
                <w:bCs/>
                <w:sz w:val="22"/>
                <w:szCs w:val="22"/>
              </w:rPr>
              <w:br/>
            </w:r>
            <w:r w:rsidRPr="001A1271">
              <w:rPr>
                <w:rFonts w:ascii="Arial" w:hAnsi="Arial" w:cs="Arial"/>
                <w:sz w:val="22"/>
                <w:szCs w:val="22"/>
              </w:rPr>
              <w:t xml:space="preserve">Are </w:t>
            </w:r>
            <w:proofErr w:type="gramStart"/>
            <w:r w:rsidRPr="001A1271">
              <w:rPr>
                <w:rFonts w:ascii="Arial" w:hAnsi="Arial" w:cs="Arial"/>
                <w:sz w:val="22"/>
                <w:szCs w:val="22"/>
              </w:rPr>
              <w:t>there</w:t>
            </w:r>
            <w:proofErr w:type="gramEnd"/>
            <w:r w:rsidRPr="001A1271">
              <w:rPr>
                <w:rFonts w:ascii="Arial" w:hAnsi="Arial" w:cs="Arial"/>
                <w:sz w:val="22"/>
                <w:szCs w:val="22"/>
              </w:rPr>
              <w:t xml:space="preserve"> specific considerations for Jobs and Skills Councils or training providers?</w:t>
            </w:r>
          </w:p>
          <w:p w14:paraId="7B1F9C5D" w14:textId="384AA824" w:rsidR="00F7323F" w:rsidRPr="00751DFF" w:rsidRDefault="00F7323F" w:rsidP="00EF1CEA">
            <w:pPr>
              <w:spacing w:before="120" w:after="60" w:line="264" w:lineRule="auto"/>
              <w:rPr>
                <w:rFonts w:ascii="Arial" w:hAnsi="Arial" w:cs="Arial"/>
                <w:sz w:val="22"/>
                <w:szCs w:val="22"/>
                <w:u w:val="single"/>
              </w:rPr>
            </w:pPr>
            <w:r w:rsidRPr="00751DFF">
              <w:rPr>
                <w:rFonts w:ascii="Arial" w:hAnsi="Arial" w:cs="Arial"/>
                <w:sz w:val="22"/>
                <w:szCs w:val="22"/>
                <w:u w:val="single"/>
              </w:rPr>
              <w:t>Definition</w:t>
            </w:r>
            <w:r>
              <w:rPr>
                <w:rFonts w:ascii="Arial" w:hAnsi="Arial" w:cs="Arial"/>
                <w:sz w:val="22"/>
                <w:szCs w:val="22"/>
                <w:u w:val="single"/>
              </w:rPr>
              <w:t>s</w:t>
            </w:r>
          </w:p>
          <w:p w14:paraId="06BEA163" w14:textId="353A7601" w:rsidR="00F7323F" w:rsidRDefault="00F7323F" w:rsidP="008E30AF">
            <w:pPr>
              <w:pStyle w:val="ListParagraph"/>
              <w:numPr>
                <w:ilvl w:val="0"/>
                <w:numId w:val="17"/>
              </w:numPr>
              <w:spacing w:before="60" w:after="40" w:line="259" w:lineRule="auto"/>
              <w:ind w:left="357" w:hanging="357"/>
              <w:contextualSpacing w:val="0"/>
              <w:rPr>
                <w:rFonts w:ascii="Arial" w:hAnsi="Arial" w:cs="Arial"/>
                <w:sz w:val="22"/>
                <w:szCs w:val="22"/>
              </w:rPr>
            </w:pPr>
            <w:r w:rsidRPr="00751DFF">
              <w:rPr>
                <w:rFonts w:ascii="Arial" w:hAnsi="Arial" w:cs="Arial"/>
                <w:b/>
                <w:bCs/>
                <w:sz w:val="22"/>
                <w:szCs w:val="22"/>
              </w:rPr>
              <w:lastRenderedPageBreak/>
              <w:t xml:space="preserve">Does the proposed definition of a </w:t>
            </w:r>
            <w:r w:rsidR="00F02B6B">
              <w:rPr>
                <w:rFonts w:ascii="Arial" w:hAnsi="Arial" w:cs="Arial"/>
                <w:b/>
                <w:bCs/>
                <w:sz w:val="22"/>
                <w:szCs w:val="22"/>
              </w:rPr>
              <w:t>“</w:t>
            </w:r>
            <w:r w:rsidR="00800BFA">
              <w:rPr>
                <w:rFonts w:ascii="Arial" w:hAnsi="Arial" w:cs="Arial"/>
                <w:b/>
                <w:bCs/>
                <w:sz w:val="22"/>
                <w:szCs w:val="22"/>
              </w:rPr>
              <w:t>dynamic lifting</w:t>
            </w:r>
            <w:r w:rsidR="00800BFA" w:rsidRPr="00751DFF">
              <w:rPr>
                <w:rFonts w:ascii="Arial" w:hAnsi="Arial" w:cs="Arial"/>
                <w:b/>
                <w:bCs/>
                <w:sz w:val="22"/>
                <w:szCs w:val="22"/>
              </w:rPr>
              <w:t xml:space="preserve"> </w:t>
            </w:r>
            <w:r w:rsidRPr="00751DFF">
              <w:rPr>
                <w:rFonts w:ascii="Arial" w:hAnsi="Arial" w:cs="Arial"/>
                <w:b/>
                <w:bCs/>
                <w:sz w:val="22"/>
                <w:szCs w:val="22"/>
              </w:rPr>
              <w:t>workplace</w:t>
            </w:r>
            <w:r w:rsidR="00F02B6B">
              <w:rPr>
                <w:rFonts w:ascii="Arial" w:hAnsi="Arial" w:cs="Arial"/>
                <w:b/>
                <w:bCs/>
                <w:sz w:val="22"/>
                <w:szCs w:val="22"/>
              </w:rPr>
              <w:t>”</w:t>
            </w:r>
            <w:r w:rsidRPr="00751DFF">
              <w:rPr>
                <w:rFonts w:ascii="Arial" w:hAnsi="Arial" w:cs="Arial"/>
                <w:b/>
                <w:bCs/>
                <w:sz w:val="22"/>
                <w:szCs w:val="22"/>
              </w:rPr>
              <w:t xml:space="preserve"> accurately reflect operational environments where maritime cranes operate?</w:t>
            </w:r>
            <w:r w:rsidRPr="00751DFF">
              <w:rPr>
                <w:rFonts w:ascii="Arial" w:hAnsi="Arial" w:cs="Arial"/>
                <w:sz w:val="22"/>
                <w:szCs w:val="22"/>
              </w:rPr>
              <w:br/>
              <w:t>Are any aspects too broad or narrow? Does it support consistent application across jurisdictions?</w:t>
            </w:r>
          </w:p>
          <w:p w14:paraId="5A420158" w14:textId="77777777" w:rsidR="00F7323F" w:rsidRPr="005D6891" w:rsidRDefault="00F7323F" w:rsidP="008E30AF">
            <w:pPr>
              <w:pStyle w:val="ListParagraph"/>
              <w:numPr>
                <w:ilvl w:val="0"/>
                <w:numId w:val="17"/>
              </w:numPr>
              <w:spacing w:before="60" w:line="259" w:lineRule="auto"/>
              <w:ind w:left="357" w:hanging="357"/>
              <w:contextualSpacing w:val="0"/>
              <w:rPr>
                <w:rFonts w:ascii="Arial" w:hAnsi="Arial" w:cs="Arial"/>
                <w:sz w:val="22"/>
                <w:szCs w:val="22"/>
              </w:rPr>
            </w:pPr>
            <w:r w:rsidRPr="00751DFF">
              <w:rPr>
                <w:rFonts w:ascii="Arial" w:hAnsi="Arial" w:cs="Arial"/>
                <w:b/>
                <w:bCs/>
                <w:sz w:val="22"/>
                <w:szCs w:val="22"/>
              </w:rPr>
              <w:t>Does the focus on dynamic movement effectively distinguish maritime workplaces from non-maritime</w:t>
            </w:r>
            <w:r>
              <w:rPr>
                <w:rFonts w:ascii="Arial" w:hAnsi="Arial" w:cs="Arial"/>
                <w:b/>
                <w:bCs/>
                <w:sz w:val="22"/>
                <w:szCs w:val="22"/>
              </w:rPr>
              <w:t>?</w:t>
            </w:r>
          </w:p>
          <w:p w14:paraId="674A6511" w14:textId="77777777" w:rsidR="00F7323F" w:rsidRPr="00DE6CC2" w:rsidRDefault="00F7323F" w:rsidP="00EF1CEA">
            <w:pPr>
              <w:spacing w:after="40" w:line="259" w:lineRule="auto"/>
              <w:ind w:left="306" w:hanging="142"/>
              <w:rPr>
                <w:rFonts w:ascii="Arial" w:hAnsi="Arial" w:cs="Arial"/>
                <w:b/>
                <w:bCs/>
                <w:color w:val="000000" w:themeColor="text1"/>
                <w:sz w:val="28"/>
                <w:szCs w:val="28"/>
              </w:rPr>
            </w:pPr>
            <w:r>
              <w:rPr>
                <w:rFonts w:ascii="Arial" w:hAnsi="Arial" w:cs="Arial"/>
                <w:sz w:val="22"/>
                <w:szCs w:val="22"/>
              </w:rPr>
              <w:t xml:space="preserve">   </w:t>
            </w:r>
            <w:r w:rsidRPr="00751DFF">
              <w:rPr>
                <w:rFonts w:ascii="Arial" w:hAnsi="Arial" w:cs="Arial"/>
                <w:sz w:val="22"/>
                <w:szCs w:val="22"/>
              </w:rPr>
              <w:t>What challenges might arise in applying this definition in mixed-use or transitional environments?</w:t>
            </w:r>
          </w:p>
          <w:p w14:paraId="585D9DFA" w14:textId="77777777" w:rsidR="00F7323F" w:rsidRPr="00751DFF" w:rsidRDefault="00F7323F" w:rsidP="00112718">
            <w:pPr>
              <w:pStyle w:val="ListParagraph"/>
              <w:numPr>
                <w:ilvl w:val="0"/>
                <w:numId w:val="17"/>
              </w:numPr>
              <w:shd w:val="clear" w:color="auto" w:fill="EADBF5"/>
              <w:spacing w:after="120"/>
              <w:ind w:left="357" w:hanging="357"/>
              <w:contextualSpacing w:val="0"/>
              <w:rPr>
                <w:rFonts w:ascii="Arial" w:hAnsi="Arial" w:cs="Arial"/>
                <w:sz w:val="22"/>
                <w:szCs w:val="22"/>
              </w:rPr>
            </w:pPr>
            <w:r w:rsidRPr="00751DFF">
              <w:rPr>
                <w:rFonts w:ascii="Arial" w:hAnsi="Arial" w:cs="Arial"/>
                <w:b/>
                <w:bCs/>
                <w:sz w:val="22"/>
                <w:szCs w:val="22"/>
              </w:rPr>
              <w:t>Does the proposed definition of “dynamic crane operation” appropriately capture the scope of activities that should be regulated under this HRW class?</w:t>
            </w:r>
            <w:r w:rsidRPr="00751DFF">
              <w:rPr>
                <w:rFonts w:ascii="Arial" w:hAnsi="Arial" w:cs="Arial"/>
                <w:sz w:val="22"/>
                <w:szCs w:val="22"/>
              </w:rPr>
              <w:br/>
              <w:t>If not, what changes would you suggest?</w:t>
            </w:r>
          </w:p>
          <w:p w14:paraId="564B5FF4" w14:textId="1A825A90" w:rsidR="00F7323F" w:rsidRPr="00DE6CC2" w:rsidRDefault="00F7323F" w:rsidP="00112718">
            <w:pPr>
              <w:pStyle w:val="ListParagraph"/>
              <w:numPr>
                <w:ilvl w:val="0"/>
                <w:numId w:val="17"/>
              </w:numPr>
              <w:shd w:val="clear" w:color="auto" w:fill="EADBF5"/>
              <w:spacing w:after="120"/>
              <w:ind w:left="357" w:hanging="357"/>
              <w:rPr>
                <w:rFonts w:ascii="Arial" w:hAnsi="Arial" w:cs="Arial"/>
                <w:b/>
                <w:bCs/>
                <w:color w:val="000000" w:themeColor="text1"/>
                <w:sz w:val="28"/>
                <w:szCs w:val="28"/>
              </w:rPr>
            </w:pPr>
            <w:r w:rsidRPr="00751DFF">
              <w:rPr>
                <w:rFonts w:ascii="Arial" w:hAnsi="Arial" w:cs="Arial"/>
                <w:b/>
                <w:bCs/>
                <w:sz w:val="22"/>
                <w:szCs w:val="22"/>
              </w:rPr>
              <w:t>Does the definition effectively distinguish a dynamic crane operation from a crane operation that is not impacted by the risk of dynamic movement?</w:t>
            </w:r>
            <w:r w:rsidRPr="00751DFF">
              <w:rPr>
                <w:rFonts w:ascii="Arial" w:hAnsi="Arial" w:cs="Arial"/>
                <w:sz w:val="22"/>
                <w:szCs w:val="22"/>
              </w:rPr>
              <w:br/>
              <w:t>What challenges might arise in applying this definition in mixed-use or transitional environments?</w:t>
            </w:r>
          </w:p>
        </w:tc>
      </w:tr>
    </w:tbl>
    <w:p w14:paraId="3D63664C" w14:textId="2A8A1182" w:rsidR="007B22B8" w:rsidRPr="007B22B8" w:rsidRDefault="00E26657" w:rsidP="000F565E">
      <w:pPr>
        <w:pStyle w:val="Heading2"/>
        <w:spacing w:before="360"/>
        <w:rPr>
          <w:rFonts w:ascii="Arial" w:eastAsiaTheme="minorHAnsi" w:hAnsi="Arial" w:cs="Arial"/>
          <w:b/>
          <w:i/>
          <w:iCs/>
          <w:color w:val="6E2F9D"/>
        </w:rPr>
      </w:pPr>
      <w:bookmarkStart w:id="59" w:name="_Toc221540323"/>
      <w:bookmarkEnd w:id="55"/>
      <w:r w:rsidRPr="007B22B8">
        <w:rPr>
          <w:rFonts w:ascii="Arial" w:eastAsiaTheme="minorHAnsi" w:hAnsi="Arial" w:cs="Arial"/>
          <w:b/>
          <w:i/>
          <w:iCs/>
          <w:color w:val="6E2F9D"/>
        </w:rPr>
        <w:lastRenderedPageBreak/>
        <w:t xml:space="preserve">Option 4: </w:t>
      </w:r>
      <w:r w:rsidR="00A17423" w:rsidRPr="00A17423">
        <w:rPr>
          <w:rFonts w:ascii="Arial" w:eastAsiaTheme="minorHAnsi" w:hAnsi="Arial" w:cs="Arial"/>
          <w:b/>
          <w:i/>
          <w:iCs/>
          <w:color w:val="6E2F9D"/>
        </w:rPr>
        <w:t>Additional competency requirements for offshore and subsea lifting</w:t>
      </w:r>
      <w:bookmarkEnd w:id="59"/>
    </w:p>
    <w:p w14:paraId="60984214" w14:textId="77777777" w:rsidR="000F565E" w:rsidRPr="00D9256C" w:rsidRDefault="000F565E" w:rsidP="00D9256C">
      <w:pPr>
        <w:rPr>
          <w:rFonts w:cstheme="minorHAnsi"/>
          <w:sz w:val="22"/>
          <w:szCs w:val="22"/>
        </w:rPr>
      </w:pPr>
      <w:r w:rsidRPr="00D9256C">
        <w:rPr>
          <w:rFonts w:cstheme="minorHAnsi"/>
          <w:sz w:val="22"/>
          <w:szCs w:val="22"/>
        </w:rPr>
        <w:t>Offshore and subsea crane operations can involve higher</w:t>
      </w:r>
      <w:r w:rsidRPr="00D9256C">
        <w:rPr>
          <w:rFonts w:cstheme="minorHAnsi"/>
          <w:sz w:val="22"/>
          <w:szCs w:val="22"/>
        </w:rPr>
        <w:noBreakHyphen/>
        <w:t>risk conditions compared with inshore or sheltered maritime lifting. Factors such as vessel motion in open sea environments, changing environmental limits, deeper water operations, hydrodynamic forces, and coordination with offshore facility safety systems may significantly influence the risk profile of these tasks.</w:t>
      </w:r>
    </w:p>
    <w:p w14:paraId="4C2BE5D6" w14:textId="77777777" w:rsidR="000F565E" w:rsidRPr="00D9256C" w:rsidRDefault="000F565E" w:rsidP="00D9256C">
      <w:pPr>
        <w:rPr>
          <w:rFonts w:cstheme="minorHAnsi"/>
          <w:sz w:val="22"/>
          <w:szCs w:val="22"/>
        </w:rPr>
      </w:pPr>
      <w:r w:rsidRPr="00D9256C">
        <w:rPr>
          <w:rFonts w:cstheme="minorHAnsi"/>
          <w:sz w:val="22"/>
          <w:szCs w:val="22"/>
        </w:rPr>
        <w:t>Subsea lifting work may involve additional complexities associated with deploying or recovering loads through the splash zone and into underwater environments, where buoyancy, current, visibility and interaction with remotely operated or diving teams can further affect risk.</w:t>
      </w:r>
    </w:p>
    <w:p w14:paraId="4B1D2426" w14:textId="77777777" w:rsidR="000F565E" w:rsidRPr="00D9256C" w:rsidRDefault="000F565E" w:rsidP="00D9256C">
      <w:pPr>
        <w:rPr>
          <w:rFonts w:cstheme="minorHAnsi"/>
          <w:sz w:val="22"/>
          <w:szCs w:val="22"/>
        </w:rPr>
      </w:pPr>
      <w:r w:rsidRPr="00D9256C">
        <w:rPr>
          <w:rFonts w:cstheme="minorHAnsi"/>
          <w:sz w:val="22"/>
          <w:szCs w:val="22"/>
        </w:rPr>
        <w:t>For consultation purposes, this option seeks views on whether these higher</w:t>
      </w:r>
      <w:r w:rsidRPr="00D9256C">
        <w:rPr>
          <w:rFonts w:cstheme="minorHAnsi"/>
          <w:sz w:val="22"/>
          <w:szCs w:val="22"/>
        </w:rPr>
        <w:noBreakHyphen/>
        <w:t>risk offshore and subsea operations should require additional training or competency beyond that proposed for dynamic lifting operations under Option 3. Stakeholder feedback will help determine whether offshore and subsea lifting should be addressed through enhanced training requirements, a specialist competency module, or another mechanism, noting that licensing structures and regulatory implementation can be further considered at a later stage.</w:t>
      </w:r>
    </w:p>
    <w:tbl>
      <w:tblPr>
        <w:tblStyle w:val="TableGrid"/>
        <w:tblW w:w="0" w:type="auto"/>
        <w:tblLook w:val="04A0" w:firstRow="1" w:lastRow="0" w:firstColumn="1" w:lastColumn="0" w:noHBand="0" w:noVBand="1"/>
      </w:tblPr>
      <w:tblGrid>
        <w:gridCol w:w="9016"/>
      </w:tblGrid>
      <w:tr w:rsidR="00783028" w:rsidRPr="00DE6CC2" w14:paraId="6E17B83F" w14:textId="77777777" w:rsidTr="00657FDC">
        <w:tc>
          <w:tcPr>
            <w:tcW w:w="9016" w:type="dxa"/>
            <w:shd w:val="clear" w:color="auto" w:fill="D5B8EA"/>
          </w:tcPr>
          <w:p w14:paraId="161CE8B2" w14:textId="77777777" w:rsidR="00783028" w:rsidRPr="00DE6CC2" w:rsidRDefault="00783028" w:rsidP="00657FDC">
            <w:pPr>
              <w:spacing w:before="120" w:after="120"/>
              <w:rPr>
                <w:rFonts w:ascii="Arial" w:hAnsi="Arial" w:cs="Arial"/>
                <w:sz w:val="28"/>
                <w:szCs w:val="28"/>
              </w:rPr>
            </w:pPr>
            <w:r w:rsidRPr="00DE6CC2">
              <w:rPr>
                <w:rFonts w:ascii="Arial" w:hAnsi="Arial" w:cs="Arial"/>
                <w:b/>
                <w:bCs/>
                <w:color w:val="000000" w:themeColor="text1"/>
                <w:sz w:val="28"/>
                <w:szCs w:val="28"/>
              </w:rPr>
              <w:t>Discussion questions</w:t>
            </w:r>
          </w:p>
        </w:tc>
      </w:tr>
      <w:tr w:rsidR="00783028" w:rsidRPr="00DE6CC2" w14:paraId="6452A2CC" w14:textId="77777777" w:rsidTr="00657FDC">
        <w:trPr>
          <w:trHeight w:val="1270"/>
        </w:trPr>
        <w:tc>
          <w:tcPr>
            <w:tcW w:w="9016" w:type="dxa"/>
            <w:shd w:val="clear" w:color="auto" w:fill="EADBF5"/>
          </w:tcPr>
          <w:p w14:paraId="1F0442F2" w14:textId="77777777" w:rsidR="00783028" w:rsidRPr="001A1271" w:rsidRDefault="00783028" w:rsidP="00657FDC">
            <w:pPr>
              <w:spacing w:before="120" w:after="60" w:line="264" w:lineRule="auto"/>
              <w:rPr>
                <w:rFonts w:ascii="Arial" w:hAnsi="Arial" w:cs="Arial"/>
                <w:sz w:val="22"/>
                <w:szCs w:val="22"/>
                <w:u w:val="single"/>
              </w:rPr>
            </w:pPr>
            <w:r w:rsidRPr="001A1271">
              <w:rPr>
                <w:rFonts w:ascii="Arial" w:hAnsi="Arial" w:cs="Arial"/>
                <w:sz w:val="22"/>
                <w:szCs w:val="22"/>
                <w:u w:val="single"/>
              </w:rPr>
              <w:t>Support and implementation</w:t>
            </w:r>
          </w:p>
          <w:p w14:paraId="24A6C2D2" w14:textId="6C27E938" w:rsidR="009439E8" w:rsidRPr="001F2844" w:rsidRDefault="00737C7B" w:rsidP="00592933">
            <w:pPr>
              <w:pStyle w:val="ListParagraph"/>
              <w:numPr>
                <w:ilvl w:val="0"/>
                <w:numId w:val="17"/>
              </w:numPr>
              <w:shd w:val="clear" w:color="auto" w:fill="EADBF5"/>
              <w:spacing w:after="120"/>
              <w:ind w:left="357" w:hanging="357"/>
              <w:contextualSpacing w:val="0"/>
              <w:rPr>
                <w:rFonts w:cstheme="minorHAnsi"/>
                <w:color w:val="000000" w:themeColor="text1"/>
                <w:sz w:val="22"/>
                <w:szCs w:val="22"/>
              </w:rPr>
            </w:pPr>
            <w:r>
              <w:rPr>
                <w:rFonts w:cstheme="minorHAnsi"/>
                <w:b/>
                <w:bCs/>
                <w:color w:val="000000" w:themeColor="text1"/>
                <w:sz w:val="22"/>
                <w:szCs w:val="22"/>
              </w:rPr>
              <w:t>Do o</w:t>
            </w:r>
            <w:r w:rsidR="009439E8" w:rsidRPr="009439E8">
              <w:rPr>
                <w:rFonts w:cstheme="minorHAnsi"/>
                <w:b/>
                <w:bCs/>
                <w:color w:val="000000" w:themeColor="text1"/>
                <w:sz w:val="22"/>
                <w:szCs w:val="22"/>
              </w:rPr>
              <w:t>ffshore and subsea crane operations involve</w:t>
            </w:r>
            <w:r>
              <w:rPr>
                <w:rFonts w:cstheme="minorHAnsi"/>
                <w:b/>
                <w:bCs/>
                <w:color w:val="000000" w:themeColor="text1"/>
                <w:sz w:val="22"/>
                <w:szCs w:val="22"/>
              </w:rPr>
              <w:t xml:space="preserve"> significantly</w:t>
            </w:r>
            <w:r w:rsidR="009439E8" w:rsidRPr="009439E8">
              <w:rPr>
                <w:rFonts w:cstheme="minorHAnsi"/>
                <w:b/>
                <w:bCs/>
                <w:color w:val="000000" w:themeColor="text1"/>
                <w:sz w:val="22"/>
                <w:szCs w:val="22"/>
              </w:rPr>
              <w:t xml:space="preserve"> higher</w:t>
            </w:r>
            <w:r w:rsidR="009439E8" w:rsidRPr="009439E8">
              <w:rPr>
                <w:rFonts w:cstheme="minorHAnsi"/>
                <w:b/>
                <w:bCs/>
                <w:color w:val="000000" w:themeColor="text1"/>
                <w:sz w:val="22"/>
                <w:szCs w:val="22"/>
              </w:rPr>
              <w:noBreakHyphen/>
              <w:t>risk conditions than inshore dynamic lifting</w:t>
            </w:r>
            <w:r>
              <w:rPr>
                <w:rFonts w:cstheme="minorHAnsi"/>
                <w:b/>
                <w:bCs/>
                <w:color w:val="000000" w:themeColor="text1"/>
                <w:sz w:val="22"/>
                <w:szCs w:val="22"/>
              </w:rPr>
              <w:t>?</w:t>
            </w:r>
            <w:r w:rsidR="009439E8" w:rsidRPr="009439E8">
              <w:rPr>
                <w:rFonts w:cstheme="minorHAnsi"/>
                <w:b/>
                <w:bCs/>
                <w:color w:val="000000" w:themeColor="text1"/>
                <w:sz w:val="22"/>
                <w:szCs w:val="22"/>
              </w:rPr>
              <w:t xml:space="preserve"> </w:t>
            </w:r>
            <w:r w:rsidR="009439E8" w:rsidRPr="001F2844">
              <w:rPr>
                <w:rFonts w:cstheme="minorHAnsi"/>
                <w:color w:val="000000" w:themeColor="text1"/>
                <w:sz w:val="22"/>
                <w:szCs w:val="22"/>
              </w:rPr>
              <w:t>What additional risks does your organisation observe in these environments?</w:t>
            </w:r>
          </w:p>
          <w:p w14:paraId="2C8CBB32" w14:textId="7A42A32A" w:rsidR="009439E8" w:rsidRPr="009439E8" w:rsidRDefault="009439E8" w:rsidP="00592933">
            <w:pPr>
              <w:pStyle w:val="ListParagraph"/>
              <w:numPr>
                <w:ilvl w:val="0"/>
                <w:numId w:val="17"/>
              </w:numPr>
              <w:shd w:val="clear" w:color="auto" w:fill="EADBF5"/>
              <w:spacing w:after="120"/>
              <w:ind w:left="357" w:hanging="357"/>
              <w:contextualSpacing w:val="0"/>
              <w:rPr>
                <w:rFonts w:cstheme="minorHAnsi"/>
                <w:b/>
                <w:bCs/>
                <w:color w:val="000000" w:themeColor="text1"/>
                <w:sz w:val="22"/>
                <w:szCs w:val="22"/>
              </w:rPr>
            </w:pPr>
            <w:r w:rsidRPr="009439E8">
              <w:rPr>
                <w:rFonts w:cstheme="minorHAnsi"/>
                <w:b/>
                <w:bCs/>
                <w:color w:val="000000" w:themeColor="text1"/>
                <w:sz w:val="22"/>
                <w:szCs w:val="22"/>
              </w:rPr>
              <w:t xml:space="preserve">Should operators who undertake offshore or subsea lifting be required to obtain additional training or competency beyond that proposed for dynamic lifting operations? </w:t>
            </w:r>
            <w:r w:rsidRPr="001F2844">
              <w:rPr>
                <w:rFonts w:cstheme="minorHAnsi"/>
                <w:color w:val="000000" w:themeColor="text1"/>
                <w:sz w:val="22"/>
                <w:szCs w:val="22"/>
              </w:rPr>
              <w:t>Why or why not?</w:t>
            </w:r>
          </w:p>
          <w:p w14:paraId="2DF63CE4" w14:textId="391B9C88" w:rsidR="009439E8" w:rsidRPr="009439E8" w:rsidRDefault="009439E8" w:rsidP="00592933">
            <w:pPr>
              <w:pStyle w:val="ListParagraph"/>
              <w:numPr>
                <w:ilvl w:val="0"/>
                <w:numId w:val="17"/>
              </w:numPr>
              <w:shd w:val="clear" w:color="auto" w:fill="EADBF5"/>
              <w:spacing w:after="120"/>
              <w:ind w:left="357" w:hanging="357"/>
              <w:contextualSpacing w:val="0"/>
              <w:rPr>
                <w:rFonts w:cstheme="minorHAnsi"/>
                <w:b/>
                <w:bCs/>
                <w:color w:val="000000" w:themeColor="text1"/>
                <w:sz w:val="22"/>
                <w:szCs w:val="22"/>
              </w:rPr>
            </w:pPr>
            <w:r w:rsidRPr="009439E8">
              <w:rPr>
                <w:rFonts w:cstheme="minorHAnsi"/>
                <w:b/>
                <w:bCs/>
                <w:color w:val="000000" w:themeColor="text1"/>
                <w:sz w:val="22"/>
                <w:szCs w:val="22"/>
              </w:rPr>
              <w:t xml:space="preserve">If additional competency is needed, </w:t>
            </w:r>
            <w:r w:rsidRPr="001F2844">
              <w:rPr>
                <w:rFonts w:cstheme="minorHAnsi"/>
                <w:b/>
                <w:bCs/>
                <w:color w:val="000000" w:themeColor="text1"/>
                <w:sz w:val="22"/>
                <w:szCs w:val="22"/>
              </w:rPr>
              <w:t>what types of skills, knowledge, or experience do you consider</w:t>
            </w:r>
            <w:r w:rsidRPr="009439E8">
              <w:rPr>
                <w:rFonts w:cstheme="minorHAnsi"/>
                <w:b/>
                <w:bCs/>
                <w:color w:val="000000" w:themeColor="text1"/>
                <w:sz w:val="22"/>
                <w:szCs w:val="22"/>
              </w:rPr>
              <w:t xml:space="preserve"> important for safe offshore or subsea lifting?</w:t>
            </w:r>
          </w:p>
          <w:p w14:paraId="5A8AB47E" w14:textId="16BB5465" w:rsidR="009439E8" w:rsidRPr="009439E8" w:rsidRDefault="009439E8" w:rsidP="00592933">
            <w:pPr>
              <w:pStyle w:val="ListParagraph"/>
              <w:numPr>
                <w:ilvl w:val="0"/>
                <w:numId w:val="17"/>
              </w:numPr>
              <w:shd w:val="clear" w:color="auto" w:fill="EADBF5"/>
              <w:spacing w:after="120"/>
              <w:ind w:left="357" w:hanging="357"/>
              <w:contextualSpacing w:val="0"/>
              <w:rPr>
                <w:rFonts w:cstheme="minorHAnsi"/>
                <w:b/>
                <w:bCs/>
                <w:color w:val="000000" w:themeColor="text1"/>
                <w:sz w:val="22"/>
                <w:szCs w:val="22"/>
              </w:rPr>
            </w:pPr>
            <w:r w:rsidRPr="009439E8">
              <w:rPr>
                <w:rFonts w:cstheme="minorHAnsi"/>
                <w:b/>
                <w:bCs/>
                <w:color w:val="000000" w:themeColor="text1"/>
                <w:sz w:val="22"/>
                <w:szCs w:val="22"/>
              </w:rPr>
              <w:lastRenderedPageBreak/>
              <w:t>How should any additional training or competency requirements for offshore or subsea lifting interact with existing offshore safety regimes, such as safety case systems or industry training standards?</w:t>
            </w:r>
          </w:p>
          <w:p w14:paraId="2BB1F00B" w14:textId="3C40917F" w:rsidR="00783028" w:rsidRPr="00390EFD" w:rsidRDefault="009D7A1B" w:rsidP="00390EFD">
            <w:pPr>
              <w:pStyle w:val="ListParagraph"/>
              <w:numPr>
                <w:ilvl w:val="0"/>
                <w:numId w:val="17"/>
              </w:numPr>
              <w:spacing w:before="120" w:after="120" w:line="22" w:lineRule="atLeast"/>
              <w:ind w:left="357" w:hanging="357"/>
              <w:contextualSpacing w:val="0"/>
              <w:rPr>
                <w:rFonts w:cstheme="minorHAnsi"/>
                <w:sz w:val="22"/>
                <w:szCs w:val="22"/>
              </w:rPr>
            </w:pPr>
            <w:r w:rsidRPr="009C0693">
              <w:rPr>
                <w:b/>
                <w:bCs/>
                <w:sz w:val="22"/>
                <w:szCs w:val="22"/>
              </w:rPr>
              <w:t>What impact would this option have for you and your organisation?</w:t>
            </w:r>
            <w:r w:rsidRPr="00CD0366">
              <w:rPr>
                <w:sz w:val="22"/>
                <w:szCs w:val="22"/>
              </w:rPr>
              <w:br/>
              <w:t xml:space="preserve">Consider improvements </w:t>
            </w:r>
            <w:r>
              <w:rPr>
                <w:sz w:val="22"/>
                <w:szCs w:val="22"/>
              </w:rPr>
              <w:t xml:space="preserve">in </w:t>
            </w:r>
            <w:r w:rsidRPr="00CD0366">
              <w:rPr>
                <w:sz w:val="22"/>
                <w:szCs w:val="22"/>
              </w:rPr>
              <w:t>WHS</w:t>
            </w:r>
            <w:r>
              <w:rPr>
                <w:sz w:val="22"/>
                <w:szCs w:val="22"/>
              </w:rPr>
              <w:t xml:space="preserve"> outcomes</w:t>
            </w:r>
            <w:r w:rsidRPr="00CD0366">
              <w:rPr>
                <w:sz w:val="22"/>
                <w:szCs w:val="22"/>
              </w:rPr>
              <w:t xml:space="preserve">, business costs, and any </w:t>
            </w:r>
            <w:r>
              <w:rPr>
                <w:sz w:val="22"/>
                <w:szCs w:val="22"/>
              </w:rPr>
              <w:t>other significant impacts.</w:t>
            </w:r>
          </w:p>
        </w:tc>
      </w:tr>
    </w:tbl>
    <w:p w14:paraId="057DF8C1" w14:textId="665C52E3" w:rsidR="001614EF" w:rsidRPr="00CA17FE" w:rsidRDefault="00F1505C" w:rsidP="00CA17FE">
      <w:pPr>
        <w:pStyle w:val="Heading2"/>
        <w:spacing w:before="240" w:after="60"/>
        <w:rPr>
          <w:rFonts w:asciiTheme="minorHAnsi" w:eastAsiaTheme="minorHAnsi" w:hAnsiTheme="minorHAnsi" w:cstheme="minorHAnsi"/>
          <w:b/>
          <w:i/>
          <w:iCs/>
          <w:color w:val="6E2F9D"/>
        </w:rPr>
      </w:pPr>
      <w:bookmarkStart w:id="60" w:name="_Toc221540324"/>
      <w:r w:rsidRPr="00CA17FE">
        <w:rPr>
          <w:rFonts w:asciiTheme="minorHAnsi" w:eastAsiaTheme="minorHAnsi" w:hAnsiTheme="minorHAnsi" w:cstheme="minorHAnsi"/>
          <w:b/>
          <w:i/>
          <w:iCs/>
          <w:color w:val="6E2F9D"/>
        </w:rPr>
        <w:lastRenderedPageBreak/>
        <w:t>Potential</w:t>
      </w:r>
      <w:r w:rsidR="00CA17FE" w:rsidRPr="00CA17FE">
        <w:rPr>
          <w:rFonts w:asciiTheme="minorHAnsi" w:eastAsiaTheme="minorHAnsi" w:hAnsiTheme="minorHAnsi" w:cstheme="minorHAnsi"/>
          <w:b/>
          <w:i/>
          <w:iCs/>
          <w:color w:val="6E2F9D"/>
        </w:rPr>
        <w:t xml:space="preserve"> combination of reform options</w:t>
      </w:r>
      <w:bookmarkEnd w:id="60"/>
    </w:p>
    <w:p w14:paraId="4271B45F" w14:textId="2592F061" w:rsidR="00EE3399" w:rsidRPr="00EE3399" w:rsidRDefault="00EE3399" w:rsidP="00EE3399">
      <w:pPr>
        <w:spacing w:before="120"/>
        <w:rPr>
          <w:rFonts w:cstheme="minorHAnsi"/>
          <w:sz w:val="22"/>
          <w:szCs w:val="22"/>
        </w:rPr>
      </w:pPr>
      <w:r w:rsidRPr="00EE3399">
        <w:rPr>
          <w:rFonts w:cstheme="minorHAnsi"/>
          <w:sz w:val="22"/>
          <w:szCs w:val="22"/>
        </w:rPr>
        <w:t xml:space="preserve">While this paper outlines </w:t>
      </w:r>
      <w:r w:rsidR="00896341">
        <w:rPr>
          <w:rFonts w:cstheme="minorHAnsi"/>
          <w:sz w:val="22"/>
          <w:szCs w:val="22"/>
        </w:rPr>
        <w:t>four</w:t>
      </w:r>
      <w:r w:rsidRPr="00EE3399">
        <w:rPr>
          <w:rFonts w:cstheme="minorHAnsi"/>
          <w:sz w:val="22"/>
          <w:szCs w:val="22"/>
        </w:rPr>
        <w:t xml:space="preserve"> distinct options, stakeholders may consider that a combined approach—drawing on elements from more than one option—could better achieve the intended policy outcomes. A hybrid model may offer a more balanced solution by enhancing regulatory clarity, supporting operational flexibility, and improving safety outcomes in high-risk environments.</w:t>
      </w:r>
    </w:p>
    <w:p w14:paraId="1F217EB3" w14:textId="77777777" w:rsidR="00EE3399" w:rsidRPr="00EE3399" w:rsidRDefault="00EE3399" w:rsidP="00EE3399">
      <w:pPr>
        <w:spacing w:before="120"/>
        <w:rPr>
          <w:rFonts w:cstheme="minorHAnsi"/>
          <w:sz w:val="22"/>
          <w:szCs w:val="22"/>
        </w:rPr>
      </w:pPr>
      <w:r w:rsidRPr="00EE3399">
        <w:rPr>
          <w:rFonts w:cstheme="minorHAnsi"/>
          <w:sz w:val="22"/>
          <w:szCs w:val="22"/>
        </w:rPr>
        <w:t>Stakeholder views are sought on the feasibility and desirability of implementing a combined approach, including which elements from the proposed options could be effectively integrated.</w:t>
      </w:r>
    </w:p>
    <w:tbl>
      <w:tblPr>
        <w:tblStyle w:val="TableGrid"/>
        <w:tblW w:w="0" w:type="auto"/>
        <w:tblLook w:val="04A0" w:firstRow="1" w:lastRow="0" w:firstColumn="1" w:lastColumn="0" w:noHBand="0" w:noVBand="1"/>
      </w:tblPr>
      <w:tblGrid>
        <w:gridCol w:w="9060"/>
      </w:tblGrid>
      <w:tr w:rsidR="00D465C5" w14:paraId="3BAE528E" w14:textId="77777777" w:rsidTr="00A35184">
        <w:tc>
          <w:tcPr>
            <w:tcW w:w="9060" w:type="dxa"/>
            <w:shd w:val="clear" w:color="auto" w:fill="D5B8EA"/>
          </w:tcPr>
          <w:p w14:paraId="399C4921" w14:textId="01C83EBB" w:rsidR="00D465C5" w:rsidRDefault="00AA6002" w:rsidP="00411A98">
            <w:pPr>
              <w:spacing w:before="60" w:after="60" w:line="259" w:lineRule="auto"/>
              <w:rPr>
                <w:rFonts w:cstheme="minorHAnsi"/>
                <w:sz w:val="22"/>
                <w:szCs w:val="22"/>
              </w:rPr>
            </w:pPr>
            <w:r w:rsidRPr="00D16888">
              <w:rPr>
                <w:rFonts w:cstheme="minorHAnsi"/>
                <w:b/>
                <w:bCs/>
                <w:color w:val="000000" w:themeColor="text1"/>
                <w:sz w:val="28"/>
                <w:szCs w:val="28"/>
              </w:rPr>
              <w:t>Discussion questions</w:t>
            </w:r>
          </w:p>
        </w:tc>
      </w:tr>
      <w:tr w:rsidR="00D465C5" w14:paraId="4150831C" w14:textId="77777777" w:rsidTr="004924E1">
        <w:tc>
          <w:tcPr>
            <w:tcW w:w="9060" w:type="dxa"/>
            <w:shd w:val="clear" w:color="auto" w:fill="EADBF5"/>
          </w:tcPr>
          <w:p w14:paraId="29A1DAB8" w14:textId="053DEEBA" w:rsidR="004D7CB4" w:rsidRPr="0021169C" w:rsidRDefault="0022506D" w:rsidP="0021169C">
            <w:pPr>
              <w:pStyle w:val="ListParagraph"/>
              <w:numPr>
                <w:ilvl w:val="0"/>
                <w:numId w:val="17"/>
              </w:numPr>
              <w:shd w:val="clear" w:color="auto" w:fill="EADBF5"/>
              <w:spacing w:after="120"/>
              <w:ind w:left="357" w:hanging="357"/>
              <w:contextualSpacing w:val="0"/>
              <w:rPr>
                <w:rFonts w:cstheme="minorHAnsi"/>
                <w:b/>
                <w:bCs/>
                <w:sz w:val="22"/>
                <w:szCs w:val="22"/>
              </w:rPr>
            </w:pPr>
            <w:r w:rsidRPr="0021169C">
              <w:rPr>
                <w:rFonts w:cstheme="minorHAnsi"/>
                <w:b/>
                <w:bCs/>
                <w:color w:val="000000" w:themeColor="text1"/>
                <w:sz w:val="22"/>
                <w:szCs w:val="22"/>
              </w:rPr>
              <w:t>Would</w:t>
            </w:r>
            <w:r w:rsidRPr="0021169C">
              <w:rPr>
                <w:b/>
                <w:bCs/>
                <w:sz w:val="22"/>
                <w:szCs w:val="22"/>
              </w:rPr>
              <w:t xml:space="preserve"> you support a combination of options? </w:t>
            </w:r>
            <w:r w:rsidRPr="0021169C">
              <w:rPr>
                <w:sz w:val="22"/>
                <w:szCs w:val="22"/>
              </w:rPr>
              <w:t>If so, which options, or elements of the options, would you combine and why?</w:t>
            </w:r>
          </w:p>
        </w:tc>
      </w:tr>
    </w:tbl>
    <w:p w14:paraId="0E709193" w14:textId="4CBCBC75" w:rsidR="00C1618E" w:rsidRPr="00907911" w:rsidRDefault="00C1618E" w:rsidP="00844EE9">
      <w:pPr>
        <w:spacing w:before="120"/>
        <w:rPr>
          <w:rFonts w:cstheme="minorHAnsi"/>
        </w:rPr>
      </w:pPr>
      <w:r w:rsidRPr="009C036E">
        <w:rPr>
          <w:rFonts w:cstheme="minorHAnsi"/>
          <w:sz w:val="22"/>
          <w:szCs w:val="22"/>
        </w:rPr>
        <w:t>All questions are combined in the response template available on the</w:t>
      </w:r>
      <w:r w:rsidR="00B4496C" w:rsidRPr="009C036E">
        <w:rPr>
          <w:rFonts w:cstheme="minorHAnsi"/>
          <w:sz w:val="22"/>
          <w:szCs w:val="22"/>
        </w:rPr>
        <w:t xml:space="preserve"> </w:t>
      </w:r>
      <w:hyperlink r:id="rId31" w:history="1">
        <w:r w:rsidR="00B4496C" w:rsidRPr="009C036E">
          <w:rPr>
            <w:rFonts w:cstheme="minorHAnsi"/>
            <w:sz w:val="22"/>
            <w:szCs w:val="22"/>
          </w:rPr>
          <w:t>Consultation</w:t>
        </w:r>
      </w:hyperlink>
      <w:r w:rsidR="00B4496C" w:rsidRPr="009C036E">
        <w:rPr>
          <w:rFonts w:cstheme="minorHAnsi"/>
          <w:sz w:val="22"/>
          <w:szCs w:val="22"/>
        </w:rPr>
        <w:t xml:space="preserve"> </w:t>
      </w:r>
      <w:r w:rsidRPr="009C036E">
        <w:rPr>
          <w:rFonts w:cstheme="minorHAnsi"/>
          <w:sz w:val="22"/>
          <w:szCs w:val="22"/>
        </w:rPr>
        <w:t>pag</w:t>
      </w:r>
      <w:r w:rsidRPr="003C5922">
        <w:rPr>
          <w:rFonts w:cstheme="minorHAnsi"/>
          <w:sz w:val="22"/>
          <w:szCs w:val="22"/>
        </w:rPr>
        <w:t>e</w:t>
      </w:r>
      <w:r w:rsidRPr="00907911">
        <w:rPr>
          <w:rFonts w:cstheme="minorHAnsi"/>
        </w:rPr>
        <w:t>.</w:t>
      </w:r>
    </w:p>
    <w:p w14:paraId="3F03E8AA" w14:textId="2D23A26C" w:rsidR="00194D3D" w:rsidRPr="00C12339" w:rsidRDefault="00C12339" w:rsidP="00B63C7C">
      <w:pPr>
        <w:pStyle w:val="SWAHeading1"/>
        <w:rPr>
          <w:color w:val="7030A0"/>
        </w:rPr>
      </w:pPr>
      <w:bookmarkStart w:id="61" w:name="_Toc203021409"/>
      <w:bookmarkStart w:id="62" w:name="_Toc221540325"/>
      <w:bookmarkEnd w:id="37"/>
      <w:bookmarkEnd w:id="38"/>
      <w:bookmarkEnd w:id="9"/>
      <w:bookmarkEnd w:id="8"/>
      <w:r w:rsidRPr="00C12339">
        <w:rPr>
          <w:color w:val="7030A0"/>
        </w:rPr>
        <w:lastRenderedPageBreak/>
        <w:t>Next steps</w:t>
      </w:r>
      <w:bookmarkEnd w:id="61"/>
      <w:bookmarkEnd w:id="62"/>
    </w:p>
    <w:p w14:paraId="7FDFFC41" w14:textId="29CDE58B" w:rsidR="0021472E" w:rsidRPr="005F4B1D" w:rsidRDefault="00801DD6" w:rsidP="005F4B1D">
      <w:pPr>
        <w:spacing w:before="120"/>
        <w:rPr>
          <w:rFonts w:cstheme="minorHAnsi"/>
          <w:sz w:val="22"/>
          <w:szCs w:val="22"/>
        </w:rPr>
      </w:pPr>
      <w:r w:rsidRPr="005F4B1D">
        <w:rPr>
          <w:rFonts w:cstheme="minorHAnsi"/>
          <w:sz w:val="22"/>
          <w:szCs w:val="22"/>
        </w:rPr>
        <w:t xml:space="preserve">Following the closure of the consultation period, </w:t>
      </w:r>
      <w:r w:rsidR="00CB14BE">
        <w:rPr>
          <w:rFonts w:cstheme="minorHAnsi"/>
          <w:sz w:val="22"/>
          <w:szCs w:val="22"/>
        </w:rPr>
        <w:t>the Agency</w:t>
      </w:r>
      <w:r w:rsidRPr="005F4B1D">
        <w:rPr>
          <w:rFonts w:cstheme="minorHAnsi"/>
          <w:sz w:val="22"/>
          <w:szCs w:val="22"/>
        </w:rPr>
        <w:t xml:space="preserve"> may contact stakeholders to seek clarification or additional information regarding their submissions. Feedback received through this consultation process will be used to inform the development of recommendations for consideration by Safe Work Australia Members and work health and safety (WHS) ministers</w:t>
      </w:r>
      <w:r w:rsidR="00124096" w:rsidRPr="005F4B1D">
        <w:rPr>
          <w:rFonts w:cstheme="minorHAnsi"/>
          <w:sz w:val="22"/>
          <w:szCs w:val="22"/>
        </w:rPr>
        <w:t>.</w:t>
      </w:r>
    </w:p>
    <w:p w14:paraId="1D080501" w14:textId="77777777" w:rsidR="00CB14BE" w:rsidRPr="00CB14BE" w:rsidRDefault="00CB14BE" w:rsidP="00CB14BE">
      <w:pPr>
        <w:pStyle w:val="Paragraph0"/>
        <w:rPr>
          <w:rFonts w:eastAsiaTheme="minorEastAsia" w:cstheme="minorHAnsi"/>
          <w:sz w:val="22"/>
          <w:szCs w:val="22"/>
          <w:lang w:eastAsia="en-US"/>
        </w:rPr>
      </w:pPr>
      <w:r w:rsidRPr="00CB14BE">
        <w:rPr>
          <w:rFonts w:eastAsiaTheme="minorEastAsia" w:cstheme="minorHAnsi"/>
          <w:sz w:val="22"/>
          <w:szCs w:val="22"/>
          <w:lang w:eastAsia="en-US"/>
        </w:rPr>
        <w:t>Depending on the approach agreed by Safe Work Australia Members and WHS ministers, an impact assessment, in line with Office of Impact Analysis (OIA) requirements, may be developed for further consultation.</w:t>
      </w:r>
    </w:p>
    <w:p w14:paraId="39664FA6" w14:textId="3854E26B" w:rsidR="00B22EAB" w:rsidRDefault="00B22EAB">
      <w:pPr>
        <w:rPr>
          <w:rFonts w:eastAsia="Times New Roman"/>
          <w:szCs w:val="22"/>
          <w:lang w:eastAsia="en-AU"/>
        </w:rPr>
      </w:pPr>
      <w:r>
        <w:rPr>
          <w:szCs w:val="22"/>
        </w:rPr>
        <w:br w:type="page"/>
      </w:r>
    </w:p>
    <w:p w14:paraId="55B6B35E" w14:textId="77777777" w:rsidR="00BE06CD" w:rsidRPr="00801604" w:rsidRDefault="00BE06CD" w:rsidP="00BE06CD">
      <w:pPr>
        <w:pStyle w:val="SWAHeading1"/>
        <w:numPr>
          <w:ilvl w:val="0"/>
          <w:numId w:val="0"/>
        </w:numPr>
        <w:ind w:left="709" w:hanging="709"/>
      </w:pPr>
      <w:bookmarkStart w:id="63" w:name="_Toc194323248"/>
      <w:bookmarkStart w:id="64" w:name="_Toc203021410"/>
      <w:bookmarkStart w:id="65" w:name="_Toc221540326"/>
      <w:r w:rsidRPr="00A9399B">
        <w:lastRenderedPageBreak/>
        <w:t>APPENDIX</w:t>
      </w:r>
      <w:r w:rsidRPr="00687025">
        <w:t xml:space="preserve"> A – </w:t>
      </w:r>
      <w:r>
        <w:t>Key definitions</w:t>
      </w:r>
      <w:bookmarkEnd w:id="63"/>
      <w:bookmarkEnd w:id="64"/>
      <w:bookmarkEnd w:id="65"/>
    </w:p>
    <w:tbl>
      <w:tblPr>
        <w:tblStyle w:val="PlainTable4"/>
        <w:tblW w:w="9072" w:type="dxa"/>
        <w:tblInd w:w="0" w:type="dxa"/>
        <w:tblLook w:val="04A0" w:firstRow="1" w:lastRow="0" w:firstColumn="1" w:lastColumn="0" w:noHBand="0" w:noVBand="1"/>
      </w:tblPr>
      <w:tblGrid>
        <w:gridCol w:w="2268"/>
        <w:gridCol w:w="6804"/>
      </w:tblGrid>
      <w:tr w:rsidR="00BE06CD" w:rsidRPr="009C036E" w14:paraId="679493FC" w14:textId="77777777" w:rsidTr="00932E0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490C61" w:themeFill="accent4"/>
            <w:hideMark/>
          </w:tcPr>
          <w:p w14:paraId="5D0BF33D" w14:textId="77777777" w:rsidR="00BE06CD" w:rsidRPr="009C036E" w:rsidRDefault="00BE06CD" w:rsidP="00F83E55">
            <w:pPr>
              <w:pStyle w:val="Paragraph0"/>
              <w:rPr>
                <w:sz w:val="22"/>
                <w:szCs w:val="22"/>
              </w:rPr>
            </w:pPr>
            <w:r w:rsidRPr="009C036E">
              <w:rPr>
                <w:sz w:val="22"/>
                <w:szCs w:val="22"/>
              </w:rPr>
              <w:t>Acronym or term </w:t>
            </w:r>
          </w:p>
        </w:tc>
        <w:tc>
          <w:tcPr>
            <w:tcW w:w="6804" w:type="dxa"/>
            <w:shd w:val="clear" w:color="auto" w:fill="490C61" w:themeFill="accent4"/>
            <w:hideMark/>
          </w:tcPr>
          <w:p w14:paraId="2E7F600D" w14:textId="77777777" w:rsidR="00BE06CD" w:rsidRPr="009C036E" w:rsidRDefault="00BE06CD" w:rsidP="00F83E55">
            <w:pPr>
              <w:pStyle w:val="Paragraph0"/>
              <w:cnfStyle w:val="100000000000" w:firstRow="1" w:lastRow="0" w:firstColumn="0" w:lastColumn="0" w:oddVBand="0" w:evenVBand="0" w:oddHBand="0" w:evenHBand="0" w:firstRowFirstColumn="0" w:firstRowLastColumn="0" w:lastRowFirstColumn="0" w:lastRowLastColumn="0"/>
              <w:rPr>
                <w:b w:val="0"/>
                <w:bCs w:val="0"/>
                <w:sz w:val="22"/>
                <w:szCs w:val="22"/>
              </w:rPr>
            </w:pPr>
            <w:r w:rsidRPr="009C036E">
              <w:rPr>
                <w:sz w:val="22"/>
                <w:szCs w:val="22"/>
              </w:rPr>
              <w:t>Meaning </w:t>
            </w:r>
          </w:p>
        </w:tc>
      </w:tr>
      <w:tr w:rsidR="00932E08" w:rsidRPr="009C036E" w14:paraId="1E751F13" w14:textId="77777777" w:rsidTr="00F92A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cPr>
          <w:p w14:paraId="5CBE7FB5" w14:textId="778F5351" w:rsidR="00932E08" w:rsidRPr="009C036E" w:rsidRDefault="00EA562D" w:rsidP="00F83E55">
            <w:pPr>
              <w:pStyle w:val="Paragraph0"/>
              <w:rPr>
                <w:sz w:val="22"/>
                <w:szCs w:val="22"/>
              </w:rPr>
            </w:pPr>
            <w:r>
              <w:rPr>
                <w:sz w:val="22"/>
                <w:szCs w:val="22"/>
              </w:rPr>
              <w:t>AMSA</w:t>
            </w:r>
          </w:p>
        </w:tc>
        <w:tc>
          <w:tcPr>
            <w:tcW w:w="6804" w:type="dxa"/>
            <w:shd w:val="clear" w:color="auto" w:fill="F2F2F2"/>
          </w:tcPr>
          <w:p w14:paraId="13361FF8" w14:textId="37E3974C" w:rsidR="00932E08" w:rsidRPr="009C036E" w:rsidRDefault="00EA562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Means the Australian Maritime Safety Au</w:t>
            </w:r>
            <w:r w:rsidR="0021377C">
              <w:rPr>
                <w:sz w:val="22"/>
                <w:szCs w:val="22"/>
              </w:rPr>
              <w:t xml:space="preserve">thority established by the </w:t>
            </w:r>
            <w:r w:rsidR="0021377C" w:rsidRPr="0005065F">
              <w:rPr>
                <w:i/>
                <w:iCs/>
                <w:sz w:val="22"/>
                <w:szCs w:val="22"/>
              </w:rPr>
              <w:t xml:space="preserve">Australian </w:t>
            </w:r>
            <w:r w:rsidR="0005065F" w:rsidRPr="0005065F">
              <w:rPr>
                <w:i/>
                <w:iCs/>
                <w:sz w:val="22"/>
                <w:szCs w:val="22"/>
              </w:rPr>
              <w:t>M</w:t>
            </w:r>
            <w:r w:rsidR="0021377C" w:rsidRPr="0005065F">
              <w:rPr>
                <w:i/>
                <w:iCs/>
                <w:sz w:val="22"/>
                <w:szCs w:val="22"/>
              </w:rPr>
              <w:t>aritime Safety Authority</w:t>
            </w:r>
            <w:r w:rsidR="0005065F" w:rsidRPr="0005065F">
              <w:rPr>
                <w:i/>
                <w:iCs/>
                <w:sz w:val="22"/>
                <w:szCs w:val="22"/>
              </w:rPr>
              <w:t xml:space="preserve"> Act 1990</w:t>
            </w:r>
            <w:r w:rsidR="0005065F">
              <w:rPr>
                <w:sz w:val="22"/>
                <w:szCs w:val="22"/>
              </w:rPr>
              <w:t>.</w:t>
            </w:r>
          </w:p>
        </w:tc>
      </w:tr>
      <w:tr w:rsidR="0065036A" w:rsidRPr="009C036E" w14:paraId="202704C4" w14:textId="77777777" w:rsidTr="00932E08">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11AC04A" w14:textId="102AF4BA" w:rsidR="0065036A" w:rsidRDefault="0065036A" w:rsidP="00F83E55">
            <w:pPr>
              <w:pStyle w:val="Paragraph0"/>
              <w:rPr>
                <w:sz w:val="22"/>
                <w:szCs w:val="22"/>
              </w:rPr>
            </w:pPr>
            <w:r>
              <w:rPr>
                <w:sz w:val="22"/>
                <w:szCs w:val="22"/>
              </w:rPr>
              <w:t>Barge</w:t>
            </w:r>
          </w:p>
        </w:tc>
        <w:tc>
          <w:tcPr>
            <w:tcW w:w="6804" w:type="dxa"/>
          </w:tcPr>
          <w:p w14:paraId="3A4FBD89" w14:textId="34E3585E" w:rsidR="0065036A" w:rsidRDefault="0065036A"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Means a vessel</w:t>
            </w:r>
            <w:r w:rsidR="00807643">
              <w:rPr>
                <w:sz w:val="22"/>
                <w:szCs w:val="22"/>
              </w:rPr>
              <w:t xml:space="preserve"> that lacks its own mechanical propulsion that is moved by</w:t>
            </w:r>
            <w:r w:rsidR="00314795">
              <w:rPr>
                <w:sz w:val="22"/>
                <w:szCs w:val="22"/>
              </w:rPr>
              <w:t xml:space="preserve"> being pushed or towed by a powered vessel.</w:t>
            </w:r>
          </w:p>
        </w:tc>
      </w:tr>
      <w:tr w:rsidR="00082768" w:rsidRPr="009C036E" w14:paraId="17192E8D" w14:textId="77777777" w:rsidTr="00F92A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cPr>
          <w:p w14:paraId="2C9D49B9" w14:textId="57811DEB" w:rsidR="00082768" w:rsidRDefault="00082768" w:rsidP="00F83E55">
            <w:pPr>
              <w:pStyle w:val="Paragraph0"/>
              <w:rPr>
                <w:sz w:val="22"/>
                <w:szCs w:val="22"/>
              </w:rPr>
            </w:pPr>
            <w:r>
              <w:rPr>
                <w:sz w:val="22"/>
                <w:szCs w:val="22"/>
              </w:rPr>
              <w:t>Cargo</w:t>
            </w:r>
          </w:p>
        </w:tc>
        <w:tc>
          <w:tcPr>
            <w:tcW w:w="6804" w:type="dxa"/>
            <w:shd w:val="clear" w:color="auto" w:fill="F2F2F2"/>
          </w:tcPr>
          <w:p w14:paraId="2921F74E" w14:textId="161A173F" w:rsidR="00082768" w:rsidRDefault="00082768"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Means goods, materials or items transported on a vessel, but does not include fuel or stores used for the vessels own consumption</w:t>
            </w:r>
            <w:r w:rsidR="00852726">
              <w:rPr>
                <w:sz w:val="22"/>
                <w:szCs w:val="22"/>
              </w:rPr>
              <w:t>.</w:t>
            </w:r>
          </w:p>
        </w:tc>
      </w:tr>
      <w:tr w:rsidR="003130ED" w:rsidRPr="009C036E" w14:paraId="11DCDFB2" w14:textId="77777777" w:rsidTr="00932E08">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2F32D72" w14:textId="02A1CB3A" w:rsidR="003130ED" w:rsidRDefault="003130ED" w:rsidP="00F83E55">
            <w:pPr>
              <w:pStyle w:val="Paragraph0"/>
              <w:rPr>
                <w:sz w:val="22"/>
                <w:szCs w:val="22"/>
              </w:rPr>
            </w:pPr>
            <w:r>
              <w:rPr>
                <w:sz w:val="22"/>
                <w:szCs w:val="22"/>
              </w:rPr>
              <w:t>Cargo handling equipment</w:t>
            </w:r>
          </w:p>
        </w:tc>
        <w:tc>
          <w:tcPr>
            <w:tcW w:w="6804" w:type="dxa"/>
          </w:tcPr>
          <w:p w14:paraId="06234363" w14:textId="421015DC" w:rsidR="003130ED" w:rsidRDefault="003130E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Means machinery and equipment used for loading and unloading cargo onto and from vessels, including shore-based and ship-based equipment (e.g. cranes, derricks, transport equipment).</w:t>
            </w:r>
          </w:p>
        </w:tc>
      </w:tr>
      <w:tr w:rsidR="00BE06CD" w:rsidRPr="009C036E" w14:paraId="7AB33B79" w14:textId="77777777" w:rsidTr="00F92A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F2F2F2"/>
          </w:tcPr>
          <w:p w14:paraId="49FE0C67" w14:textId="77777777" w:rsidR="00BE06CD" w:rsidRPr="009C036E" w:rsidRDefault="00BE06CD" w:rsidP="00F83E55">
            <w:pPr>
              <w:pStyle w:val="Paragraph0"/>
              <w:rPr>
                <w:sz w:val="22"/>
                <w:szCs w:val="22"/>
              </w:rPr>
            </w:pPr>
            <w:r w:rsidRPr="009C036E">
              <w:rPr>
                <w:sz w:val="22"/>
                <w:szCs w:val="22"/>
              </w:rPr>
              <w:t xml:space="preserve">Crane </w:t>
            </w:r>
          </w:p>
        </w:tc>
        <w:tc>
          <w:tcPr>
            <w:tcW w:w="6804" w:type="dxa"/>
            <w:shd w:val="clear" w:color="auto" w:fill="F2F2F2"/>
          </w:tcPr>
          <w:p w14:paraId="322EADCD" w14:textId="77777777" w:rsidR="00BE06CD" w:rsidRPr="009C036E" w:rsidRDefault="00BE06CD" w:rsidP="00F83E55">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A crane</w:t>
            </w:r>
            <w:r w:rsidRPr="009C036E">
              <w:rPr>
                <w:rFonts w:eastAsia="Times New Roman" w:cstheme="minorHAnsi"/>
                <w:sz w:val="22"/>
                <w:szCs w:val="22"/>
              </w:rPr>
              <w:t xml:space="preserve"> </w:t>
            </w:r>
            <w:r w:rsidRPr="009C036E">
              <w:rPr>
                <w:rFonts w:cstheme="minorHAnsi"/>
                <w:sz w:val="22"/>
                <w:szCs w:val="22"/>
              </w:rPr>
              <w:t>means an appliance intended for raising or lowering a load and moving it horizontally including the supporting structure of the crane and its foundations, but does not include any of the following:</w:t>
            </w:r>
          </w:p>
          <w:p w14:paraId="43CE57E8" w14:textId="77777777" w:rsidR="00BE06CD" w:rsidRPr="009C036E" w:rsidRDefault="00BE06CD" w:rsidP="00082B8D">
            <w:pPr>
              <w:pStyle w:val="ListParagraph"/>
              <w:numPr>
                <w:ilvl w:val="0"/>
                <w:numId w:val="18"/>
              </w:numPr>
              <w:spacing w:before="60"/>
              <w:ind w:left="357" w:hanging="357"/>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an industrial lift truck </w:t>
            </w:r>
          </w:p>
          <w:p w14:paraId="5E0F2F3A"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earthmoving machinery </w:t>
            </w:r>
          </w:p>
          <w:p w14:paraId="0793BD02"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an amusement device </w:t>
            </w:r>
          </w:p>
          <w:p w14:paraId="49C6AFA5"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 tractor </w:t>
            </w:r>
          </w:p>
          <w:p w14:paraId="664D3670"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an industrial robot </w:t>
            </w:r>
          </w:p>
          <w:p w14:paraId="3B2E5D4D"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 conveyor </w:t>
            </w:r>
          </w:p>
          <w:p w14:paraId="7CBE1B0D"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building maintenance equipment </w:t>
            </w:r>
          </w:p>
          <w:p w14:paraId="2420B7E3"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a suspended scaffold, or</w:t>
            </w:r>
          </w:p>
          <w:p w14:paraId="163B442D" w14:textId="77777777" w:rsidR="00BE06CD" w:rsidRPr="009C036E" w:rsidRDefault="00BE06CD" w:rsidP="00082B8D">
            <w:pPr>
              <w:pStyle w:val="ListParagraph"/>
              <w:numPr>
                <w:ilvl w:val="0"/>
                <w:numId w:val="18"/>
              </w:numPr>
              <w:spacing w:before="12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 lift. </w:t>
            </w:r>
          </w:p>
        </w:tc>
      </w:tr>
      <w:tr w:rsidR="0055441D" w:rsidRPr="009C036E" w14:paraId="7A354209"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E6D7114" w14:textId="63321008" w:rsidR="0055441D" w:rsidRPr="009C036E" w:rsidRDefault="00B15296" w:rsidP="00F83E55">
            <w:pPr>
              <w:pStyle w:val="Paragraph0"/>
              <w:rPr>
                <w:sz w:val="22"/>
                <w:szCs w:val="22"/>
              </w:rPr>
            </w:pPr>
            <w:r>
              <w:rPr>
                <w:sz w:val="22"/>
                <w:szCs w:val="22"/>
              </w:rPr>
              <w:t>Domestic Commercial Vessel</w:t>
            </w:r>
          </w:p>
        </w:tc>
        <w:tc>
          <w:tcPr>
            <w:tcW w:w="6804" w:type="dxa"/>
          </w:tcPr>
          <w:p w14:paraId="5797EB93" w14:textId="4946F78F" w:rsidR="0055441D" w:rsidRPr="009C036E" w:rsidRDefault="00096CDE" w:rsidP="00944862">
            <w:pPr>
              <w:spacing w:before="60" w:after="60"/>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Means</w:t>
            </w:r>
            <w:r w:rsidR="008A3610">
              <w:rPr>
                <w:rFonts w:cstheme="minorHAnsi"/>
                <w:sz w:val="22"/>
                <w:szCs w:val="22"/>
              </w:rPr>
              <w:t xml:space="preserve"> </w:t>
            </w:r>
            <w:r w:rsidR="00ED7408" w:rsidRPr="00FF0F89">
              <w:rPr>
                <w:rFonts w:cstheme="minorHAnsi"/>
                <w:sz w:val="22"/>
                <w:szCs w:val="22"/>
              </w:rPr>
              <w:t xml:space="preserve">a vessel </w:t>
            </w:r>
            <w:r w:rsidR="00ED7408">
              <w:rPr>
                <w:rFonts w:cstheme="minorHAnsi"/>
                <w:sz w:val="22"/>
                <w:szCs w:val="22"/>
              </w:rPr>
              <w:t xml:space="preserve">that is for use in connection with a </w:t>
            </w:r>
            <w:r w:rsidR="00ED7408" w:rsidRPr="00FF0F89">
              <w:rPr>
                <w:rFonts w:cstheme="minorHAnsi"/>
                <w:sz w:val="22"/>
                <w:szCs w:val="22"/>
              </w:rPr>
              <w:t>commercial, governmental, or research activit</w:t>
            </w:r>
            <w:r w:rsidR="00ED7408">
              <w:rPr>
                <w:rFonts w:cstheme="minorHAnsi"/>
                <w:sz w:val="22"/>
                <w:szCs w:val="22"/>
              </w:rPr>
              <w:t>y</w:t>
            </w:r>
            <w:r w:rsidR="00ED7408" w:rsidRPr="00FF0F89">
              <w:rPr>
                <w:rFonts w:cstheme="minorHAnsi"/>
                <w:sz w:val="22"/>
                <w:szCs w:val="22"/>
              </w:rPr>
              <w:t xml:space="preserve"> within Australia's Exclusive Economic Zone</w:t>
            </w:r>
            <w:r w:rsidR="005D0170">
              <w:rPr>
                <w:rFonts w:cstheme="minorHAnsi"/>
                <w:sz w:val="22"/>
                <w:szCs w:val="22"/>
              </w:rPr>
              <w:t>.</w:t>
            </w:r>
          </w:p>
        </w:tc>
      </w:tr>
      <w:tr w:rsidR="00A552B6" w:rsidRPr="009C036E" w14:paraId="5D8BAB1E"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04E45C15" w14:textId="67EF0C13" w:rsidR="00A552B6" w:rsidRPr="009C036E" w:rsidRDefault="00A552B6" w:rsidP="00F83E55">
            <w:pPr>
              <w:pStyle w:val="Paragraph0"/>
              <w:rPr>
                <w:sz w:val="22"/>
                <w:szCs w:val="22"/>
              </w:rPr>
            </w:pPr>
            <w:r>
              <w:rPr>
                <w:sz w:val="22"/>
                <w:szCs w:val="22"/>
              </w:rPr>
              <w:t>Foreign</w:t>
            </w:r>
            <w:r w:rsidR="0007134A">
              <w:rPr>
                <w:sz w:val="22"/>
                <w:szCs w:val="22"/>
              </w:rPr>
              <w:t xml:space="preserve"> vessel</w:t>
            </w:r>
          </w:p>
        </w:tc>
        <w:tc>
          <w:tcPr>
            <w:tcW w:w="6804" w:type="dxa"/>
          </w:tcPr>
          <w:p w14:paraId="4374FCF6" w14:textId="53172A3B" w:rsidR="00A552B6" w:rsidRDefault="0007134A" w:rsidP="00F7281D">
            <w:pPr>
              <w:spacing w:before="60" w:after="60"/>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Means a vessel that</w:t>
            </w:r>
            <w:r w:rsidR="00C1374B">
              <w:rPr>
                <w:rFonts w:cstheme="minorHAnsi"/>
                <w:sz w:val="22"/>
                <w:szCs w:val="22"/>
              </w:rPr>
              <w:t>:</w:t>
            </w:r>
            <w:r>
              <w:rPr>
                <w:rFonts w:cstheme="minorHAnsi"/>
                <w:sz w:val="22"/>
                <w:szCs w:val="22"/>
              </w:rPr>
              <w:t>(a)</w:t>
            </w:r>
            <w:r w:rsidR="00C1374B">
              <w:rPr>
                <w:rFonts w:cstheme="minorHAnsi"/>
                <w:sz w:val="22"/>
                <w:szCs w:val="22"/>
              </w:rPr>
              <w:t xml:space="preserve"> does not have Australian nationality</w:t>
            </w:r>
            <w:r w:rsidR="00EC7EBB">
              <w:rPr>
                <w:rFonts w:cstheme="minorHAnsi"/>
                <w:sz w:val="22"/>
                <w:szCs w:val="22"/>
              </w:rPr>
              <w:t>, and</w:t>
            </w:r>
          </w:p>
          <w:p w14:paraId="47AD470D" w14:textId="6654CCEC" w:rsidR="00EC7EBB" w:rsidRPr="009C036E" w:rsidRDefault="00EC7EBB" w:rsidP="00F7281D">
            <w:pPr>
              <w:spacing w:before="60" w:after="60"/>
              <w:ind w:left="2166" w:hanging="141"/>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(b)</w:t>
            </w:r>
            <w:r w:rsidR="00715A20">
              <w:rPr>
                <w:rFonts w:cstheme="minorHAnsi"/>
                <w:sz w:val="22"/>
                <w:szCs w:val="22"/>
              </w:rPr>
              <w:t xml:space="preserve"> is not a recreational vessel.</w:t>
            </w:r>
          </w:p>
        </w:tc>
      </w:tr>
      <w:tr w:rsidR="00BE06CD" w:rsidRPr="009C036E" w14:paraId="7B4C3B30"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48FD9BF3" w14:textId="77777777" w:rsidR="00BE06CD" w:rsidRPr="009C036E" w:rsidRDefault="00BE06CD" w:rsidP="00F83E55">
            <w:pPr>
              <w:pStyle w:val="Paragraph0"/>
              <w:rPr>
                <w:sz w:val="22"/>
                <w:szCs w:val="22"/>
              </w:rPr>
            </w:pPr>
            <w:r w:rsidRPr="009C036E">
              <w:rPr>
                <w:rFonts w:cstheme="minorHAnsi"/>
                <w:sz w:val="22"/>
                <w:szCs w:val="22"/>
              </w:rPr>
              <w:t xml:space="preserve">HRW </w:t>
            </w:r>
          </w:p>
        </w:tc>
        <w:tc>
          <w:tcPr>
            <w:tcW w:w="6804" w:type="dxa"/>
          </w:tcPr>
          <w:p w14:paraId="44549105" w14:textId="3D8F5EA9"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rFonts w:cstheme="minorHAnsi"/>
                <w:sz w:val="22"/>
                <w:szCs w:val="22"/>
              </w:rPr>
              <w:t>High risk work, which means any work set out in Schedule</w:t>
            </w:r>
            <w:r w:rsidR="00741B30">
              <w:rPr>
                <w:rFonts w:cstheme="minorHAnsi"/>
                <w:sz w:val="22"/>
                <w:szCs w:val="22"/>
              </w:rPr>
              <w:t xml:space="preserve"> </w:t>
            </w:r>
            <w:r w:rsidRPr="009C036E">
              <w:rPr>
                <w:rFonts w:cstheme="minorHAnsi"/>
                <w:sz w:val="22"/>
                <w:szCs w:val="22"/>
              </w:rPr>
              <w:t xml:space="preserve">3 to the model WHS Regulations as being within the scope of a high risk work licence. For more information, see </w:t>
            </w:r>
            <w:r w:rsidRPr="009C036E">
              <w:rPr>
                <w:rFonts w:cstheme="minorHAnsi"/>
                <w:sz w:val="22"/>
                <w:szCs w:val="22"/>
                <w:u w:val="single"/>
              </w:rPr>
              <w:t>Appendix</w:t>
            </w:r>
            <w:r w:rsidR="00BD1E2A">
              <w:rPr>
                <w:rFonts w:cstheme="minorHAnsi"/>
                <w:sz w:val="22"/>
                <w:szCs w:val="22"/>
                <w:u w:val="single"/>
              </w:rPr>
              <w:t xml:space="preserve"> </w:t>
            </w:r>
            <w:r w:rsidRPr="009C036E">
              <w:rPr>
                <w:rFonts w:cstheme="minorHAnsi"/>
                <w:sz w:val="22"/>
                <w:szCs w:val="22"/>
                <w:u w:val="single"/>
              </w:rPr>
              <w:t>B</w:t>
            </w:r>
            <w:r w:rsidRPr="009C036E">
              <w:rPr>
                <w:rFonts w:cstheme="minorHAnsi"/>
                <w:sz w:val="22"/>
                <w:szCs w:val="22"/>
              </w:rPr>
              <w:t>.</w:t>
            </w:r>
          </w:p>
        </w:tc>
      </w:tr>
      <w:tr w:rsidR="00BE06CD" w:rsidRPr="009C036E" w14:paraId="79BCCDBA"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3687A07E" w14:textId="77777777" w:rsidR="00BE06CD" w:rsidRPr="009C036E" w:rsidRDefault="00BE06CD" w:rsidP="00F83E55">
            <w:pPr>
              <w:pStyle w:val="Paragraph0"/>
              <w:rPr>
                <w:sz w:val="22"/>
                <w:szCs w:val="22"/>
              </w:rPr>
            </w:pPr>
            <w:r w:rsidRPr="009C036E">
              <w:rPr>
                <w:rFonts w:cstheme="minorHAnsi"/>
                <w:sz w:val="22"/>
                <w:szCs w:val="22"/>
              </w:rPr>
              <w:t>HRW licence</w:t>
            </w:r>
          </w:p>
        </w:tc>
        <w:tc>
          <w:tcPr>
            <w:tcW w:w="6804" w:type="dxa"/>
          </w:tcPr>
          <w:p w14:paraId="0C24C596" w14:textId="496467DE"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rFonts w:cstheme="minorHAnsi"/>
                <w:sz w:val="22"/>
                <w:szCs w:val="22"/>
              </w:rPr>
              <w:t>High risk work licence, which means any of the licences listed in Schedule</w:t>
            </w:r>
            <w:r w:rsidR="0043287C">
              <w:rPr>
                <w:rFonts w:cstheme="minorHAnsi"/>
                <w:sz w:val="22"/>
                <w:szCs w:val="22"/>
              </w:rPr>
              <w:t xml:space="preserve"> </w:t>
            </w:r>
            <w:r w:rsidRPr="009C036E">
              <w:rPr>
                <w:rFonts w:cstheme="minorHAnsi"/>
                <w:sz w:val="22"/>
                <w:szCs w:val="22"/>
              </w:rPr>
              <w:t xml:space="preserve">3 to the model WHS Regulations. </w:t>
            </w:r>
          </w:p>
        </w:tc>
      </w:tr>
      <w:tr w:rsidR="00BE06CD" w:rsidRPr="009C036E" w14:paraId="3C334E43"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5B2D4849" w14:textId="77777777" w:rsidR="00BE06CD" w:rsidRPr="009C036E" w:rsidRDefault="00BE06CD" w:rsidP="00F83E55">
            <w:pPr>
              <w:pStyle w:val="Paragraph0"/>
              <w:rPr>
                <w:sz w:val="22"/>
                <w:szCs w:val="22"/>
              </w:rPr>
            </w:pPr>
            <w:r w:rsidRPr="009C036E">
              <w:rPr>
                <w:rFonts w:cstheme="minorHAnsi"/>
                <w:sz w:val="22"/>
                <w:szCs w:val="22"/>
              </w:rPr>
              <w:t>Licence holder</w:t>
            </w:r>
          </w:p>
        </w:tc>
        <w:tc>
          <w:tcPr>
            <w:tcW w:w="6804" w:type="dxa"/>
          </w:tcPr>
          <w:p w14:paraId="733B1220"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rFonts w:cstheme="minorHAnsi"/>
                <w:sz w:val="22"/>
                <w:szCs w:val="22"/>
              </w:rPr>
              <w:t>In the case of a HRW licence, a licence holder is the person who is licensed to carry out the work.</w:t>
            </w:r>
          </w:p>
        </w:tc>
      </w:tr>
      <w:tr w:rsidR="00CA7B6E" w:rsidRPr="009C036E" w14:paraId="71E76CE8"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0BA4A019" w14:textId="36B2C2CA" w:rsidR="00CA7B6E" w:rsidRPr="009C036E" w:rsidRDefault="00CA7B6E" w:rsidP="00F83E55">
            <w:pPr>
              <w:pStyle w:val="Paragraph0"/>
              <w:rPr>
                <w:rFonts w:cstheme="minorHAnsi"/>
                <w:sz w:val="22"/>
                <w:szCs w:val="22"/>
              </w:rPr>
            </w:pPr>
            <w:r>
              <w:rPr>
                <w:rFonts w:cstheme="minorHAnsi"/>
                <w:sz w:val="22"/>
                <w:szCs w:val="22"/>
              </w:rPr>
              <w:t>Lighter</w:t>
            </w:r>
          </w:p>
        </w:tc>
        <w:tc>
          <w:tcPr>
            <w:tcW w:w="6804" w:type="dxa"/>
          </w:tcPr>
          <w:p w14:paraId="459EA331" w14:textId="6204A7E0" w:rsidR="00CA7B6E" w:rsidRPr="009C036E" w:rsidRDefault="0011113B" w:rsidP="00F83E55">
            <w:pPr>
              <w:pStyle w:val="Paragraph0"/>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 xml:space="preserve">Means a shallow-draft </w:t>
            </w:r>
            <w:r w:rsidR="00A80207">
              <w:rPr>
                <w:rFonts w:cstheme="minorHAnsi"/>
                <w:sz w:val="22"/>
                <w:szCs w:val="22"/>
              </w:rPr>
              <w:t>flat-bottomed</w:t>
            </w:r>
            <w:r w:rsidR="007C3553">
              <w:rPr>
                <w:rFonts w:cstheme="minorHAnsi"/>
                <w:sz w:val="22"/>
                <w:szCs w:val="22"/>
              </w:rPr>
              <w:t xml:space="preserve"> </w:t>
            </w:r>
            <w:r>
              <w:rPr>
                <w:rFonts w:cstheme="minorHAnsi"/>
                <w:sz w:val="22"/>
                <w:szCs w:val="22"/>
              </w:rPr>
              <w:t>boat or barge</w:t>
            </w:r>
            <w:r w:rsidR="007C3553">
              <w:rPr>
                <w:rFonts w:cstheme="minorHAnsi"/>
                <w:sz w:val="22"/>
                <w:szCs w:val="22"/>
              </w:rPr>
              <w:t xml:space="preserve"> used in loading or unloading </w:t>
            </w:r>
            <w:r w:rsidR="0043287C">
              <w:rPr>
                <w:rFonts w:cstheme="minorHAnsi"/>
                <w:sz w:val="22"/>
                <w:szCs w:val="22"/>
              </w:rPr>
              <w:t>vessels offshore.</w:t>
            </w:r>
          </w:p>
        </w:tc>
      </w:tr>
      <w:tr w:rsidR="00BE06CD" w:rsidRPr="009C036E" w14:paraId="4B536029"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5B6954E9" w14:textId="77777777" w:rsidR="00BE06CD" w:rsidRPr="009C036E" w:rsidRDefault="00BE06CD" w:rsidP="00F83E55">
            <w:pPr>
              <w:pStyle w:val="Paragraph0"/>
              <w:rPr>
                <w:sz w:val="22"/>
                <w:szCs w:val="22"/>
              </w:rPr>
            </w:pPr>
            <w:r w:rsidRPr="009C036E">
              <w:rPr>
                <w:rFonts w:cstheme="minorHAnsi"/>
                <w:sz w:val="22"/>
                <w:szCs w:val="22"/>
              </w:rPr>
              <w:t>Model WHS Act</w:t>
            </w:r>
          </w:p>
        </w:tc>
        <w:tc>
          <w:tcPr>
            <w:tcW w:w="6804" w:type="dxa"/>
          </w:tcPr>
          <w:p w14:paraId="72EB6374"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rFonts w:cstheme="minorHAnsi"/>
                <w:sz w:val="22"/>
                <w:szCs w:val="22"/>
              </w:rPr>
              <w:t>The model WHS Act refers to the model Work Health and Safety Bill. It forms the basis of the WHS Acts that have been implemented in most jurisdictions across Australia.</w:t>
            </w:r>
          </w:p>
        </w:tc>
      </w:tr>
      <w:tr w:rsidR="00BE06CD" w:rsidRPr="009C036E" w14:paraId="38D0108D"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hideMark/>
          </w:tcPr>
          <w:p w14:paraId="589CEB05" w14:textId="77777777" w:rsidR="00BE06CD" w:rsidRPr="009C036E" w:rsidRDefault="00BE06CD" w:rsidP="00F83E55">
            <w:pPr>
              <w:pStyle w:val="Paragraph0"/>
              <w:rPr>
                <w:sz w:val="22"/>
                <w:szCs w:val="22"/>
              </w:rPr>
            </w:pPr>
            <w:r w:rsidRPr="009C036E">
              <w:rPr>
                <w:sz w:val="22"/>
                <w:szCs w:val="22"/>
              </w:rPr>
              <w:lastRenderedPageBreak/>
              <w:t>Model WHS laws </w:t>
            </w:r>
          </w:p>
        </w:tc>
        <w:tc>
          <w:tcPr>
            <w:tcW w:w="6804" w:type="dxa"/>
            <w:hideMark/>
          </w:tcPr>
          <w:p w14:paraId="16F10EC3"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sz w:val="22"/>
                <w:szCs w:val="22"/>
              </w:rPr>
              <w:t>The model WHS laws consist of the model WHS Act, model WHS Regulations and model Codes of Practice.  </w:t>
            </w:r>
          </w:p>
        </w:tc>
      </w:tr>
      <w:tr w:rsidR="00BE06CD" w:rsidRPr="009C036E" w14:paraId="1B7315B6"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117D687" w14:textId="77777777" w:rsidR="00BE06CD" w:rsidRPr="009C036E" w:rsidRDefault="00BE06CD" w:rsidP="00F83E55">
            <w:pPr>
              <w:pStyle w:val="Paragraph0"/>
              <w:rPr>
                <w:sz w:val="22"/>
                <w:szCs w:val="22"/>
              </w:rPr>
            </w:pPr>
            <w:r w:rsidRPr="009C036E">
              <w:rPr>
                <w:rFonts w:cstheme="minorHAnsi"/>
                <w:sz w:val="22"/>
                <w:szCs w:val="22"/>
              </w:rPr>
              <w:t>Model WHS Regulations</w:t>
            </w:r>
          </w:p>
        </w:tc>
        <w:tc>
          <w:tcPr>
            <w:tcW w:w="6804" w:type="dxa"/>
          </w:tcPr>
          <w:p w14:paraId="2A8DC2B3"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rFonts w:cstheme="minorHAnsi"/>
                <w:sz w:val="22"/>
                <w:szCs w:val="22"/>
              </w:rPr>
              <w:t>The model WHS Regulations form the basis of the WHS Regulations that have been implemented in most jurisdictions across Australia. They set out detailed requirements to support the duties in the model WHS Act.</w:t>
            </w:r>
          </w:p>
        </w:tc>
      </w:tr>
      <w:tr w:rsidR="00BE06CD" w:rsidRPr="009C036E" w14:paraId="5380AF80"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914A1F0" w14:textId="77777777" w:rsidR="00BE06CD" w:rsidRPr="009C036E" w:rsidRDefault="00BE06CD" w:rsidP="00F83E55">
            <w:pPr>
              <w:pStyle w:val="Paragraph0"/>
              <w:rPr>
                <w:rFonts w:cstheme="minorHAnsi"/>
                <w:sz w:val="22"/>
                <w:szCs w:val="22"/>
              </w:rPr>
            </w:pPr>
            <w:r w:rsidRPr="009C036E">
              <w:rPr>
                <w:rFonts w:cstheme="minorHAnsi"/>
                <w:sz w:val="22"/>
                <w:szCs w:val="22"/>
              </w:rPr>
              <w:t>Non-slewing mobile crane</w:t>
            </w:r>
          </w:p>
        </w:tc>
        <w:tc>
          <w:tcPr>
            <w:tcW w:w="6804" w:type="dxa"/>
          </w:tcPr>
          <w:p w14:paraId="17953E38"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9C036E">
              <w:rPr>
                <w:rFonts w:cstheme="minorHAnsi"/>
                <w:sz w:val="22"/>
                <w:szCs w:val="22"/>
              </w:rPr>
              <w:t xml:space="preserve">A mobile crane incorporating a boom or jib that cannot be </w:t>
            </w:r>
            <w:proofErr w:type="gramStart"/>
            <w:r w:rsidRPr="009C036E">
              <w:rPr>
                <w:rFonts w:cstheme="minorHAnsi"/>
                <w:sz w:val="22"/>
                <w:szCs w:val="22"/>
              </w:rPr>
              <w:t>slewed, and</w:t>
            </w:r>
            <w:proofErr w:type="gramEnd"/>
            <w:r w:rsidRPr="009C036E">
              <w:rPr>
                <w:rFonts w:cstheme="minorHAnsi"/>
                <w:sz w:val="22"/>
                <w:szCs w:val="22"/>
              </w:rPr>
              <w:t xml:space="preserve"> includes an articulated mobile crane or a locomotive crane, but does not include vehicle tow trucks.</w:t>
            </w:r>
          </w:p>
        </w:tc>
      </w:tr>
      <w:tr w:rsidR="00BE06CD" w:rsidRPr="009C036E" w14:paraId="7B5B3039"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hideMark/>
          </w:tcPr>
          <w:p w14:paraId="0AD9B472" w14:textId="77777777" w:rsidR="00BE06CD" w:rsidRPr="009C036E" w:rsidRDefault="00BE06CD" w:rsidP="00F83E55">
            <w:pPr>
              <w:pStyle w:val="Paragraph0"/>
              <w:rPr>
                <w:sz w:val="22"/>
                <w:szCs w:val="22"/>
              </w:rPr>
            </w:pPr>
            <w:r w:rsidRPr="009C036E">
              <w:rPr>
                <w:sz w:val="22"/>
                <w:szCs w:val="22"/>
              </w:rPr>
              <w:t>PCBU </w:t>
            </w:r>
          </w:p>
        </w:tc>
        <w:tc>
          <w:tcPr>
            <w:tcW w:w="6804" w:type="dxa"/>
            <w:hideMark/>
          </w:tcPr>
          <w:p w14:paraId="5CEC1EF4"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sz w:val="22"/>
                <w:szCs w:val="22"/>
              </w:rPr>
              <w:t>Person conducting a business or undertaking.</w:t>
            </w:r>
          </w:p>
          <w:p w14:paraId="696C508D"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sz w:val="22"/>
                <w:szCs w:val="22"/>
              </w:rPr>
              <w:t>The term PCBU is an umbrella concept used to capture all types of working arrangements or structures. A PCBU can be a: company; unincorporated body or association; sole trader or self-employed person. The individuals who are in a partnership that is conducting a business will individually be a PCBU.</w:t>
            </w:r>
          </w:p>
        </w:tc>
      </w:tr>
      <w:tr w:rsidR="00BE06CD" w:rsidRPr="009C036E" w14:paraId="21AA174E"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7455F656" w14:textId="77777777" w:rsidR="00BE06CD" w:rsidRPr="009C036E" w:rsidRDefault="00BE06CD" w:rsidP="00F83E55">
            <w:pPr>
              <w:pStyle w:val="Paragraph0"/>
              <w:rPr>
                <w:sz w:val="22"/>
                <w:szCs w:val="22"/>
              </w:rPr>
            </w:pPr>
            <w:r w:rsidRPr="009C036E">
              <w:rPr>
                <w:sz w:val="22"/>
                <w:szCs w:val="22"/>
              </w:rPr>
              <w:t>Plant</w:t>
            </w:r>
          </w:p>
        </w:tc>
        <w:tc>
          <w:tcPr>
            <w:tcW w:w="6804" w:type="dxa"/>
          </w:tcPr>
          <w:p w14:paraId="20D8365B"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sz w:val="22"/>
                <w:szCs w:val="22"/>
              </w:rPr>
              <w:t>Plant includes any machinery, equipment, appliance, container, implement and tool; any component of any of those things; and anything fitted or connected to any of those things.</w:t>
            </w:r>
          </w:p>
        </w:tc>
      </w:tr>
      <w:tr w:rsidR="00AC07AF" w:rsidRPr="009C036E" w14:paraId="6600D1E0" w14:textId="77777777" w:rsidTr="00F83E55">
        <w:trPr>
          <w:trHeight w:val="300"/>
        </w:trPr>
        <w:tc>
          <w:tcPr>
            <w:cnfStyle w:val="001000000000" w:firstRow="0" w:lastRow="0" w:firstColumn="1" w:lastColumn="0" w:oddVBand="0" w:evenVBand="0" w:oddHBand="0" w:evenHBand="0" w:firstRowFirstColumn="0" w:firstRowLastColumn="0" w:lastRowFirstColumn="0" w:lastRowLastColumn="0"/>
            <w:tcW w:w="2268" w:type="dxa"/>
          </w:tcPr>
          <w:p w14:paraId="12EAAB3E" w14:textId="49E3A1AD" w:rsidR="00AC07AF" w:rsidRPr="009C036E" w:rsidRDefault="00AC07AF" w:rsidP="00F83E55">
            <w:pPr>
              <w:pStyle w:val="Paragraph0"/>
              <w:rPr>
                <w:sz w:val="22"/>
                <w:szCs w:val="22"/>
              </w:rPr>
            </w:pPr>
            <w:r>
              <w:rPr>
                <w:sz w:val="22"/>
                <w:szCs w:val="22"/>
              </w:rPr>
              <w:t>Regulated Austra</w:t>
            </w:r>
            <w:r w:rsidR="00DB759E">
              <w:rPr>
                <w:sz w:val="22"/>
                <w:szCs w:val="22"/>
              </w:rPr>
              <w:t>l</w:t>
            </w:r>
            <w:r>
              <w:rPr>
                <w:sz w:val="22"/>
                <w:szCs w:val="22"/>
              </w:rPr>
              <w:t>ian Vessel</w:t>
            </w:r>
          </w:p>
        </w:tc>
        <w:tc>
          <w:tcPr>
            <w:tcW w:w="6804" w:type="dxa"/>
          </w:tcPr>
          <w:p w14:paraId="4FB82218" w14:textId="32DEC4AB" w:rsidR="00AC07AF" w:rsidRPr="009C036E" w:rsidRDefault="00B1013E"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Means </w:t>
            </w:r>
            <w:r w:rsidRPr="009A1AE0">
              <w:rPr>
                <w:sz w:val="22"/>
                <w:szCs w:val="22"/>
              </w:rPr>
              <w:t>an Australian commercial vessel that operates, or intends to operate, outside Australia’s Exclusive Economic Zone</w:t>
            </w:r>
            <w:r w:rsidR="009A1AE0">
              <w:rPr>
                <w:sz w:val="22"/>
                <w:szCs w:val="22"/>
              </w:rPr>
              <w:t>.</w:t>
            </w:r>
          </w:p>
        </w:tc>
      </w:tr>
      <w:tr w:rsidR="00BE06CD" w:rsidRPr="009C036E" w14:paraId="58E4814B" w14:textId="77777777" w:rsidTr="00F83E5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tcPr>
          <w:p w14:paraId="2E9E6CC3" w14:textId="77777777" w:rsidR="00BE06CD" w:rsidRPr="009C036E" w:rsidRDefault="00BE06CD" w:rsidP="00F83E55">
            <w:pPr>
              <w:pStyle w:val="Paragraph0"/>
              <w:rPr>
                <w:sz w:val="22"/>
                <w:szCs w:val="22"/>
              </w:rPr>
            </w:pPr>
            <w:r w:rsidRPr="009C036E">
              <w:rPr>
                <w:rFonts w:cstheme="minorHAnsi"/>
                <w:sz w:val="22"/>
                <w:szCs w:val="22"/>
              </w:rPr>
              <w:t>Safe Work Australia Members</w:t>
            </w:r>
          </w:p>
        </w:tc>
        <w:tc>
          <w:tcPr>
            <w:tcW w:w="6804" w:type="dxa"/>
          </w:tcPr>
          <w:p w14:paraId="0EBF386E"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rFonts w:cstheme="minorHAnsi"/>
                <w:sz w:val="22"/>
                <w:szCs w:val="22"/>
              </w:rPr>
              <w:t>Safe Work Australia is a national policy body representing the interests of the Commonwealth, states and territories, as well as workers and employers. Its decision-making body comprises Members representing the Commonwealth and each state and territory, employee and employer representatives.</w:t>
            </w:r>
          </w:p>
        </w:tc>
      </w:tr>
      <w:tr w:rsidR="00BE06CD" w:rsidRPr="009C036E" w14:paraId="6F51B029" w14:textId="77777777" w:rsidTr="00F83E55">
        <w:trPr>
          <w:trHeight w:val="75"/>
        </w:trPr>
        <w:tc>
          <w:tcPr>
            <w:cnfStyle w:val="001000000000" w:firstRow="0" w:lastRow="0" w:firstColumn="1" w:lastColumn="0" w:oddVBand="0" w:evenVBand="0" w:oddHBand="0" w:evenHBand="0" w:firstRowFirstColumn="0" w:firstRowLastColumn="0" w:lastRowFirstColumn="0" w:lastRowLastColumn="0"/>
            <w:tcW w:w="2268" w:type="dxa"/>
          </w:tcPr>
          <w:p w14:paraId="5140EFF7" w14:textId="77777777" w:rsidR="00BE06CD" w:rsidRPr="009C036E" w:rsidRDefault="00BE06CD" w:rsidP="00F83E55">
            <w:pPr>
              <w:pStyle w:val="Paragraph0"/>
              <w:rPr>
                <w:sz w:val="22"/>
                <w:szCs w:val="22"/>
              </w:rPr>
            </w:pPr>
            <w:r w:rsidRPr="009C036E">
              <w:rPr>
                <w:rFonts w:cstheme="minorHAnsi"/>
                <w:sz w:val="22"/>
                <w:szCs w:val="22"/>
              </w:rPr>
              <w:t>Slewing mobile crane</w:t>
            </w:r>
          </w:p>
        </w:tc>
        <w:tc>
          <w:tcPr>
            <w:tcW w:w="6804" w:type="dxa"/>
          </w:tcPr>
          <w:p w14:paraId="4342A8C7"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rFonts w:cstheme="minorHAnsi"/>
                <w:sz w:val="22"/>
                <w:szCs w:val="22"/>
              </w:rPr>
              <w:t>A mobile crane incorporating a boom or jib that can be slewed, but does not include a front-end loader, a backhoe, an excavator, or other earth moving equipment when configured for crane operation.</w:t>
            </w:r>
          </w:p>
        </w:tc>
      </w:tr>
      <w:tr w:rsidR="00215038" w:rsidRPr="009C036E" w14:paraId="4BA8C14B" w14:textId="77777777" w:rsidTr="00F83E5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2268" w:type="dxa"/>
          </w:tcPr>
          <w:p w14:paraId="4E18D911" w14:textId="5BE32183" w:rsidR="00215038" w:rsidRPr="009C036E" w:rsidRDefault="00215038" w:rsidP="00F83E55">
            <w:pPr>
              <w:pStyle w:val="Paragraph0"/>
              <w:rPr>
                <w:rFonts w:cstheme="minorHAnsi"/>
                <w:sz w:val="22"/>
                <w:szCs w:val="22"/>
              </w:rPr>
            </w:pPr>
            <w:r>
              <w:rPr>
                <w:rFonts w:cstheme="minorHAnsi"/>
                <w:sz w:val="22"/>
                <w:szCs w:val="22"/>
              </w:rPr>
              <w:t>Stevedoring</w:t>
            </w:r>
          </w:p>
        </w:tc>
        <w:tc>
          <w:tcPr>
            <w:tcW w:w="6804" w:type="dxa"/>
          </w:tcPr>
          <w:p w14:paraId="2A4C4967" w14:textId="23AA4CAB" w:rsidR="00215038" w:rsidRPr="009C036E" w:rsidRDefault="00215038" w:rsidP="00F83E55">
            <w:pPr>
              <w:pStyle w:val="Paragraph0"/>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 xml:space="preserve">Means </w:t>
            </w:r>
            <w:r w:rsidR="00CC193D">
              <w:rPr>
                <w:rFonts w:cstheme="minorHAnsi"/>
                <w:sz w:val="22"/>
                <w:szCs w:val="22"/>
              </w:rPr>
              <w:t xml:space="preserve">activities directly connected with </w:t>
            </w:r>
            <w:r w:rsidR="00092292">
              <w:rPr>
                <w:rFonts w:cstheme="minorHAnsi"/>
                <w:sz w:val="22"/>
                <w:szCs w:val="22"/>
              </w:rPr>
              <w:t>the loading or unloading of vessel cargo, stacking and storing cargo on a wharf and receiving or delivering cargo within a terminal or facility.</w:t>
            </w:r>
          </w:p>
        </w:tc>
      </w:tr>
      <w:tr w:rsidR="009A3C9B" w:rsidRPr="009C036E" w14:paraId="228AB45D" w14:textId="77777777" w:rsidTr="00F83E55">
        <w:trPr>
          <w:trHeight w:val="75"/>
        </w:trPr>
        <w:tc>
          <w:tcPr>
            <w:cnfStyle w:val="001000000000" w:firstRow="0" w:lastRow="0" w:firstColumn="1" w:lastColumn="0" w:oddVBand="0" w:evenVBand="0" w:oddHBand="0" w:evenHBand="0" w:firstRowFirstColumn="0" w:firstRowLastColumn="0" w:lastRowFirstColumn="0" w:lastRowLastColumn="0"/>
            <w:tcW w:w="2268" w:type="dxa"/>
          </w:tcPr>
          <w:p w14:paraId="61EAED5F" w14:textId="4114E707" w:rsidR="009A3C9B" w:rsidRPr="009C036E" w:rsidRDefault="009A3C9B" w:rsidP="00F83E55">
            <w:pPr>
              <w:pStyle w:val="Paragraph0"/>
              <w:rPr>
                <w:rFonts w:cstheme="minorHAnsi"/>
                <w:sz w:val="22"/>
                <w:szCs w:val="22"/>
              </w:rPr>
            </w:pPr>
            <w:r>
              <w:rPr>
                <w:rFonts w:cstheme="minorHAnsi"/>
                <w:sz w:val="22"/>
                <w:szCs w:val="22"/>
              </w:rPr>
              <w:t>Vessel</w:t>
            </w:r>
          </w:p>
        </w:tc>
        <w:tc>
          <w:tcPr>
            <w:tcW w:w="6804" w:type="dxa"/>
          </w:tcPr>
          <w:p w14:paraId="104971F6" w14:textId="77777777" w:rsidR="009A3C9B" w:rsidRDefault="009A3C9B" w:rsidP="00C17110">
            <w:pPr>
              <w:pStyle w:val="Paragraph0"/>
              <w:spacing w:after="0"/>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Means</w:t>
            </w:r>
            <w:r w:rsidR="006C7EBE">
              <w:rPr>
                <w:rFonts w:cstheme="minorHAnsi"/>
                <w:sz w:val="22"/>
                <w:szCs w:val="22"/>
              </w:rPr>
              <w:t xml:space="preserve"> any kind of vessel used in navi</w:t>
            </w:r>
            <w:r w:rsidR="006A0281">
              <w:rPr>
                <w:rFonts w:cstheme="minorHAnsi"/>
                <w:sz w:val="22"/>
                <w:szCs w:val="22"/>
              </w:rPr>
              <w:t>gation by water, however propelled</w:t>
            </w:r>
            <w:r w:rsidR="00A82DAB">
              <w:rPr>
                <w:rFonts w:cstheme="minorHAnsi"/>
                <w:sz w:val="22"/>
                <w:szCs w:val="22"/>
              </w:rPr>
              <w:t xml:space="preserve"> or moved, and includes</w:t>
            </w:r>
            <w:r w:rsidR="00B824E7">
              <w:rPr>
                <w:rFonts w:cstheme="minorHAnsi"/>
                <w:sz w:val="22"/>
                <w:szCs w:val="22"/>
              </w:rPr>
              <w:t>:</w:t>
            </w:r>
          </w:p>
          <w:p w14:paraId="1850FE09" w14:textId="77777777" w:rsidR="00B824E7" w:rsidRDefault="00C17110" w:rsidP="00082B8D">
            <w:pPr>
              <w:pStyle w:val="Paragraph0"/>
              <w:numPr>
                <w:ilvl w:val="0"/>
                <w:numId w:val="23"/>
              </w:numPr>
              <w:spacing w:after="0"/>
              <w:ind w:left="714" w:hanging="357"/>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a barge, lighter or other floating craft</w:t>
            </w:r>
          </w:p>
          <w:p w14:paraId="0CA1496E" w14:textId="545FDF83" w:rsidR="007C4823" w:rsidRPr="009C036E" w:rsidRDefault="007C4823" w:rsidP="00082B8D">
            <w:pPr>
              <w:pStyle w:val="Paragraph0"/>
              <w:numPr>
                <w:ilvl w:val="0"/>
                <w:numId w:val="23"/>
              </w:numP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an air-cushion vehicle, or other similar craft</w:t>
            </w:r>
            <w:r w:rsidR="00CB0E34">
              <w:rPr>
                <w:rFonts w:cstheme="minorHAnsi"/>
                <w:sz w:val="22"/>
                <w:szCs w:val="22"/>
              </w:rPr>
              <w:t>, used wholly or primarily in navigation by water.</w:t>
            </w:r>
          </w:p>
        </w:tc>
      </w:tr>
      <w:tr w:rsidR="00BE06CD" w:rsidRPr="009C036E" w14:paraId="38BC9564" w14:textId="77777777" w:rsidTr="00F83E5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2268" w:type="dxa"/>
            <w:hideMark/>
          </w:tcPr>
          <w:p w14:paraId="2BDFF4E1" w14:textId="77777777" w:rsidR="00BE06CD" w:rsidRPr="009C036E" w:rsidRDefault="00BE06CD" w:rsidP="00F83E55">
            <w:pPr>
              <w:pStyle w:val="Paragraph0"/>
              <w:rPr>
                <w:sz w:val="22"/>
                <w:szCs w:val="22"/>
              </w:rPr>
            </w:pPr>
            <w:r w:rsidRPr="009C036E">
              <w:rPr>
                <w:sz w:val="22"/>
                <w:szCs w:val="22"/>
              </w:rPr>
              <w:t>WHS </w:t>
            </w:r>
          </w:p>
        </w:tc>
        <w:tc>
          <w:tcPr>
            <w:tcW w:w="6804" w:type="dxa"/>
            <w:hideMark/>
          </w:tcPr>
          <w:p w14:paraId="49C22970"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sz w:val="22"/>
                <w:szCs w:val="22"/>
              </w:rPr>
              <w:t>Work health and safety.</w:t>
            </w:r>
          </w:p>
        </w:tc>
      </w:tr>
      <w:tr w:rsidR="00BE06CD" w:rsidRPr="009C036E" w14:paraId="26284EC0" w14:textId="77777777" w:rsidTr="00F83E55">
        <w:trPr>
          <w:trHeight w:val="75"/>
        </w:trPr>
        <w:tc>
          <w:tcPr>
            <w:cnfStyle w:val="001000000000" w:firstRow="0" w:lastRow="0" w:firstColumn="1" w:lastColumn="0" w:oddVBand="0" w:evenVBand="0" w:oddHBand="0" w:evenHBand="0" w:firstRowFirstColumn="0" w:firstRowLastColumn="0" w:lastRowFirstColumn="0" w:lastRowLastColumn="0"/>
            <w:tcW w:w="2268" w:type="dxa"/>
          </w:tcPr>
          <w:p w14:paraId="35BBDFCA" w14:textId="77777777" w:rsidR="00BE06CD" w:rsidRPr="009C036E" w:rsidRDefault="00BE06CD" w:rsidP="00F83E55">
            <w:pPr>
              <w:pStyle w:val="Paragraph0"/>
              <w:rPr>
                <w:sz w:val="22"/>
                <w:szCs w:val="22"/>
              </w:rPr>
            </w:pPr>
            <w:r w:rsidRPr="009C036E">
              <w:rPr>
                <w:sz w:val="22"/>
                <w:szCs w:val="22"/>
              </w:rPr>
              <w:t>WHS ministers</w:t>
            </w:r>
          </w:p>
        </w:tc>
        <w:tc>
          <w:tcPr>
            <w:tcW w:w="6804" w:type="dxa"/>
          </w:tcPr>
          <w:p w14:paraId="038526A6"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sz w:val="22"/>
                <w:szCs w:val="22"/>
              </w:rPr>
              <w:t>Commonwealth, state and territory ministers with responsibility for WHS matters.</w:t>
            </w:r>
          </w:p>
        </w:tc>
      </w:tr>
      <w:tr w:rsidR="00BE06CD" w:rsidRPr="009C036E" w14:paraId="537BD114" w14:textId="77777777" w:rsidTr="00F83E5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2268" w:type="dxa"/>
            <w:hideMark/>
          </w:tcPr>
          <w:p w14:paraId="7361E82D" w14:textId="77777777" w:rsidR="00BE06CD" w:rsidRPr="009C036E" w:rsidRDefault="00BE06CD" w:rsidP="00F83E55">
            <w:pPr>
              <w:pStyle w:val="Paragraph0"/>
              <w:rPr>
                <w:sz w:val="22"/>
                <w:szCs w:val="22"/>
              </w:rPr>
            </w:pPr>
            <w:r w:rsidRPr="009C036E">
              <w:rPr>
                <w:sz w:val="22"/>
                <w:szCs w:val="22"/>
              </w:rPr>
              <w:t>WHS regulator </w:t>
            </w:r>
          </w:p>
        </w:tc>
        <w:tc>
          <w:tcPr>
            <w:tcW w:w="6804" w:type="dxa"/>
            <w:hideMark/>
          </w:tcPr>
          <w:p w14:paraId="0E14EAAE"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sz w:val="22"/>
                <w:szCs w:val="22"/>
              </w:rPr>
              <w:t>Commonwealth, state or territory regulator that implements, regulates and enforces WHS laws in its jurisdiction.</w:t>
            </w:r>
          </w:p>
        </w:tc>
      </w:tr>
      <w:tr w:rsidR="00BE06CD" w:rsidRPr="009C036E" w14:paraId="46D4BDBF" w14:textId="77777777" w:rsidTr="00F83E55">
        <w:trPr>
          <w:trHeight w:val="75"/>
        </w:trPr>
        <w:tc>
          <w:tcPr>
            <w:cnfStyle w:val="001000000000" w:firstRow="0" w:lastRow="0" w:firstColumn="1" w:lastColumn="0" w:oddVBand="0" w:evenVBand="0" w:oddHBand="0" w:evenHBand="0" w:firstRowFirstColumn="0" w:firstRowLastColumn="0" w:lastRowFirstColumn="0" w:lastRowLastColumn="0"/>
            <w:tcW w:w="2268" w:type="dxa"/>
            <w:hideMark/>
          </w:tcPr>
          <w:p w14:paraId="5010CB20" w14:textId="77777777" w:rsidR="00BE06CD" w:rsidRPr="009C036E" w:rsidRDefault="00BE06CD" w:rsidP="00F83E55">
            <w:pPr>
              <w:pStyle w:val="Paragraph0"/>
              <w:rPr>
                <w:sz w:val="22"/>
                <w:szCs w:val="22"/>
              </w:rPr>
            </w:pPr>
            <w:r w:rsidRPr="009C036E">
              <w:rPr>
                <w:sz w:val="22"/>
                <w:szCs w:val="22"/>
              </w:rPr>
              <w:lastRenderedPageBreak/>
              <w:t>Worker </w:t>
            </w:r>
          </w:p>
        </w:tc>
        <w:tc>
          <w:tcPr>
            <w:tcW w:w="6804" w:type="dxa"/>
            <w:hideMark/>
          </w:tcPr>
          <w:p w14:paraId="2F4D62D1" w14:textId="77777777" w:rsidR="00BE06CD" w:rsidRPr="009C036E" w:rsidRDefault="00BE06CD" w:rsidP="00F83E55">
            <w:pPr>
              <w:pStyle w:val="Paragraph0"/>
              <w:cnfStyle w:val="000000000000" w:firstRow="0" w:lastRow="0" w:firstColumn="0" w:lastColumn="0" w:oddVBand="0" w:evenVBand="0" w:oddHBand="0" w:evenHBand="0" w:firstRowFirstColumn="0" w:firstRowLastColumn="0" w:lastRowFirstColumn="0" w:lastRowLastColumn="0"/>
              <w:rPr>
                <w:sz w:val="22"/>
                <w:szCs w:val="22"/>
              </w:rPr>
            </w:pPr>
            <w:r w:rsidRPr="009C036E">
              <w:rPr>
                <w:sz w:val="22"/>
                <w:szCs w:val="22"/>
              </w:rPr>
              <w:t>Any person who carries out work for a PCBU, including work as an employee, contractor, subcontractor, self-employed person, outworker, apprentice or trainee, work experience student, employee of a labour hire company placed with a 'host employer' and volunteers.</w:t>
            </w:r>
          </w:p>
        </w:tc>
      </w:tr>
      <w:tr w:rsidR="00BE06CD" w:rsidRPr="009C036E" w14:paraId="427CB2BC" w14:textId="77777777" w:rsidTr="00F83E5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2268" w:type="dxa"/>
            <w:hideMark/>
          </w:tcPr>
          <w:p w14:paraId="6A802FB6" w14:textId="77777777" w:rsidR="00BE06CD" w:rsidRPr="009C036E" w:rsidRDefault="00BE06CD" w:rsidP="00F83E55">
            <w:pPr>
              <w:pStyle w:val="Paragraph0"/>
              <w:rPr>
                <w:sz w:val="22"/>
                <w:szCs w:val="22"/>
              </w:rPr>
            </w:pPr>
            <w:r w:rsidRPr="009C036E">
              <w:rPr>
                <w:sz w:val="22"/>
                <w:szCs w:val="22"/>
              </w:rPr>
              <w:t>Workplace </w:t>
            </w:r>
          </w:p>
        </w:tc>
        <w:tc>
          <w:tcPr>
            <w:tcW w:w="6804" w:type="dxa"/>
            <w:hideMark/>
          </w:tcPr>
          <w:p w14:paraId="52B34576" w14:textId="77777777" w:rsidR="00BE06CD" w:rsidRPr="009C036E" w:rsidRDefault="00BE06CD" w:rsidP="00F83E55">
            <w:pPr>
              <w:pStyle w:val="Paragraph0"/>
              <w:cnfStyle w:val="000000100000" w:firstRow="0" w:lastRow="0" w:firstColumn="0" w:lastColumn="0" w:oddVBand="0" w:evenVBand="0" w:oddHBand="1" w:evenHBand="0" w:firstRowFirstColumn="0" w:firstRowLastColumn="0" w:lastRowFirstColumn="0" w:lastRowLastColumn="0"/>
              <w:rPr>
                <w:sz w:val="22"/>
                <w:szCs w:val="22"/>
              </w:rPr>
            </w:pPr>
            <w:r w:rsidRPr="009C036E">
              <w:rPr>
                <w:sz w:val="22"/>
                <w:szCs w:val="22"/>
              </w:rPr>
              <w:t>Any place where work is carried out for a business or undertaking and includes any place where a worker goes, or is likely to be, while at work. </w:t>
            </w:r>
          </w:p>
        </w:tc>
      </w:tr>
    </w:tbl>
    <w:p w14:paraId="44E19B3B" w14:textId="77777777" w:rsidR="00BE06CD" w:rsidRPr="009C036E" w:rsidRDefault="00BE06CD" w:rsidP="00BE06CD">
      <w:pPr>
        <w:spacing w:before="120"/>
        <w:rPr>
          <w:sz w:val="22"/>
          <w:szCs w:val="22"/>
        </w:rPr>
      </w:pPr>
    </w:p>
    <w:p w14:paraId="34619AF4" w14:textId="77777777" w:rsidR="002326F1" w:rsidRDefault="002326F1" w:rsidP="002326F1">
      <w:pPr>
        <w:pStyle w:val="SWAHeading1"/>
        <w:numPr>
          <w:ilvl w:val="0"/>
          <w:numId w:val="0"/>
        </w:numPr>
      </w:pPr>
      <w:bookmarkStart w:id="66" w:name="_Toc194323249"/>
      <w:bookmarkStart w:id="67" w:name="_Toc203021411"/>
      <w:bookmarkStart w:id="68" w:name="_Toc221540327"/>
      <w:r w:rsidRPr="00A9399B">
        <w:lastRenderedPageBreak/>
        <w:t>APPENDIX</w:t>
      </w:r>
      <w:r w:rsidRPr="00687025">
        <w:t xml:space="preserve"> </w:t>
      </w:r>
      <w:r>
        <w:t>B</w:t>
      </w:r>
      <w:r w:rsidRPr="00687025">
        <w:t xml:space="preserve"> – </w:t>
      </w:r>
      <w:r w:rsidRPr="007A1A26">
        <w:t>High risk work under the model WHS laws</w:t>
      </w:r>
      <w:bookmarkEnd w:id="66"/>
      <w:bookmarkEnd w:id="67"/>
      <w:bookmarkEnd w:id="68"/>
    </w:p>
    <w:p w14:paraId="1F82598F" w14:textId="77777777" w:rsidR="002326F1" w:rsidRPr="009A6148" w:rsidRDefault="002326F1" w:rsidP="002326F1">
      <w:pPr>
        <w:spacing w:before="120" w:line="240" w:lineRule="auto"/>
        <w:rPr>
          <w:rFonts w:eastAsia="Calibri" w:cstheme="minorHAnsi"/>
          <w:b/>
          <w:bCs/>
          <w:color w:val="6E2F9D"/>
          <w:sz w:val="24"/>
          <w:szCs w:val="24"/>
        </w:rPr>
      </w:pPr>
      <w:r w:rsidRPr="009A6148">
        <w:rPr>
          <w:rFonts w:eastAsia="Calibri" w:cstheme="minorHAnsi"/>
          <w:b/>
          <w:bCs/>
          <w:color w:val="6E2F9D"/>
          <w:sz w:val="24"/>
          <w:szCs w:val="24"/>
        </w:rPr>
        <w:t>WHS duties</w:t>
      </w:r>
    </w:p>
    <w:p w14:paraId="66B29166" w14:textId="77777777" w:rsidR="002326F1" w:rsidRPr="009C036E" w:rsidRDefault="002326F1" w:rsidP="002326F1">
      <w:pPr>
        <w:autoSpaceDE w:val="0"/>
        <w:autoSpaceDN w:val="0"/>
        <w:adjustRightInd w:val="0"/>
        <w:spacing w:line="181" w:lineRule="atLeast"/>
        <w:rPr>
          <w:rFonts w:eastAsia="Calibri" w:cstheme="minorHAnsi"/>
          <w:color w:val="000000"/>
          <w:sz w:val="22"/>
          <w:szCs w:val="22"/>
        </w:rPr>
      </w:pPr>
      <w:r w:rsidRPr="009C036E">
        <w:rPr>
          <w:rFonts w:eastAsia="Calibri" w:cstheme="minorHAnsi"/>
          <w:color w:val="000000"/>
          <w:sz w:val="22"/>
          <w:szCs w:val="22"/>
        </w:rPr>
        <w:t xml:space="preserve">Everyone in the workplace has a health and safety duty under the model WHS Act. </w:t>
      </w:r>
    </w:p>
    <w:p w14:paraId="6B80D6B6" w14:textId="77777777" w:rsidR="002326F1" w:rsidRPr="009C036E" w:rsidRDefault="002326F1" w:rsidP="002326F1">
      <w:pPr>
        <w:autoSpaceDE w:val="0"/>
        <w:autoSpaceDN w:val="0"/>
        <w:adjustRightInd w:val="0"/>
        <w:spacing w:line="181" w:lineRule="atLeast"/>
        <w:rPr>
          <w:rFonts w:eastAsia="Calibri" w:cstheme="minorHAnsi"/>
          <w:color w:val="000000"/>
          <w:sz w:val="22"/>
          <w:szCs w:val="22"/>
        </w:rPr>
      </w:pPr>
      <w:r w:rsidRPr="00FC4180">
        <w:rPr>
          <w:rFonts w:eastAsia="Calibri" w:cstheme="minorHAnsi"/>
          <w:b/>
          <w:color w:val="6E2F9D"/>
          <w:sz w:val="22"/>
          <w:szCs w:val="22"/>
        </w:rPr>
        <w:t>A person conducting a business or undertaking</w:t>
      </w:r>
      <w:r w:rsidRPr="009C036E">
        <w:rPr>
          <w:rFonts w:eastAsia="Calibri" w:cstheme="minorHAnsi"/>
          <w:color w:val="6E2F9D"/>
          <w:sz w:val="22"/>
          <w:szCs w:val="22"/>
        </w:rPr>
        <w:t xml:space="preserve"> </w:t>
      </w:r>
      <w:r w:rsidRPr="009C036E">
        <w:rPr>
          <w:rFonts w:eastAsia="Calibri" w:cstheme="minorHAnsi"/>
          <w:color w:val="000000"/>
          <w:sz w:val="22"/>
          <w:szCs w:val="22"/>
        </w:rPr>
        <w:t xml:space="preserve">(PCBU) must ensure, so far as is reasonably practicable, workers and other people are not exposed to health and safety risks arising from the business or undertaking. It also includes ensuring so far as is reasonably practicable the: </w:t>
      </w:r>
    </w:p>
    <w:p w14:paraId="48B9EA18" w14:textId="77777777" w:rsidR="002326F1" w:rsidRPr="009C036E" w:rsidRDefault="002326F1" w:rsidP="00082B8D">
      <w:pPr>
        <w:pStyle w:val="ListParagraph"/>
        <w:numPr>
          <w:ilvl w:val="0"/>
          <w:numId w:val="19"/>
        </w:numPr>
        <w:spacing w:before="120" w:line="240" w:lineRule="auto"/>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 xml:space="preserve">provision and maintenance of safe plant, and </w:t>
      </w:r>
    </w:p>
    <w:p w14:paraId="1F567CCD" w14:textId="77777777" w:rsidR="002326F1" w:rsidRPr="009C036E" w:rsidRDefault="002326F1" w:rsidP="00082B8D">
      <w:pPr>
        <w:pStyle w:val="ListParagraph"/>
        <w:numPr>
          <w:ilvl w:val="0"/>
          <w:numId w:val="19"/>
        </w:numPr>
        <w:spacing w:before="120" w:line="240" w:lineRule="auto"/>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 xml:space="preserve">safe use, handling, storage and transport of plant. </w:t>
      </w:r>
    </w:p>
    <w:p w14:paraId="53FE9565" w14:textId="77777777" w:rsidR="002326F1" w:rsidRPr="009C036E" w:rsidRDefault="002326F1" w:rsidP="002326F1">
      <w:pPr>
        <w:spacing w:line="260" w:lineRule="exact"/>
        <w:rPr>
          <w:rFonts w:eastAsia="Times New Roman" w:cstheme="minorHAnsi"/>
          <w:color w:val="000000"/>
          <w:sz w:val="22"/>
          <w:szCs w:val="22"/>
        </w:rPr>
      </w:pPr>
      <w:r w:rsidRPr="009C036E">
        <w:rPr>
          <w:rFonts w:eastAsia="Times New Roman" w:cstheme="minorHAnsi"/>
          <w:color w:val="000000"/>
          <w:sz w:val="22"/>
          <w:szCs w:val="22"/>
        </w:rPr>
        <w:t>A PCBU must manage risks by eliminating health and safety risks, so far as is reasonably practicable and if it is not reasonably practicable to eliminate the risks, by minimising those risks, so far as is reasonably practicable.</w:t>
      </w:r>
    </w:p>
    <w:p w14:paraId="68B6241F" w14:textId="77777777" w:rsidR="002326F1" w:rsidRPr="009C036E" w:rsidRDefault="002326F1" w:rsidP="002326F1">
      <w:pPr>
        <w:spacing w:line="240" w:lineRule="auto"/>
        <w:rPr>
          <w:rFonts w:eastAsia="Calibri" w:cstheme="minorHAnsi"/>
          <w:sz w:val="22"/>
          <w:szCs w:val="22"/>
        </w:rPr>
      </w:pPr>
      <w:r w:rsidRPr="009C036E">
        <w:rPr>
          <w:rFonts w:eastAsia="Calibri" w:cstheme="minorHAnsi"/>
          <w:sz w:val="22"/>
          <w:szCs w:val="22"/>
        </w:rPr>
        <w:t xml:space="preserve">The model WHS laws include more specific requirements for PCBUs to manage the risks of hazardous chemicals, airborne contaminants and plant, as well as other hazards associated with powered mobile plant and </w:t>
      </w:r>
      <w:r w:rsidRPr="009C036E">
        <w:rPr>
          <w:rFonts w:eastAsia="Calibri" w:cstheme="minorHAnsi"/>
          <w:color w:val="000000"/>
          <w:sz w:val="22"/>
          <w:szCs w:val="22"/>
        </w:rPr>
        <w:t>plant that lifts or suspends loads</w:t>
      </w:r>
      <w:r w:rsidRPr="009C036E">
        <w:rPr>
          <w:rFonts w:eastAsia="Calibri" w:cstheme="minorHAnsi"/>
          <w:sz w:val="22"/>
          <w:szCs w:val="22"/>
        </w:rPr>
        <w:t xml:space="preserve"> at a workplace.</w:t>
      </w:r>
    </w:p>
    <w:p w14:paraId="2E94B0B3" w14:textId="77777777" w:rsidR="002326F1" w:rsidRPr="009C036E" w:rsidRDefault="002326F1" w:rsidP="002326F1">
      <w:pPr>
        <w:spacing w:line="240" w:lineRule="auto"/>
        <w:rPr>
          <w:rFonts w:eastAsia="Calibri" w:cstheme="minorHAnsi"/>
          <w:sz w:val="22"/>
          <w:szCs w:val="22"/>
        </w:rPr>
      </w:pPr>
      <w:r w:rsidRPr="009C036E">
        <w:rPr>
          <w:rFonts w:eastAsia="Calibri" w:cstheme="minorHAnsi"/>
          <w:sz w:val="22"/>
          <w:szCs w:val="22"/>
        </w:rPr>
        <w:t>A PCBU must also ensure workers have the necessary training, qualifications or licences to operate powered mobile plant, for example checking licensing, qualifications and fitness for work when engaging drivers and operators or hiring contractors. A PCBU must not direct or allow an unlicensed worker to carry out work for which a licence is required.</w:t>
      </w:r>
    </w:p>
    <w:p w14:paraId="194B8B09" w14:textId="77777777" w:rsidR="002326F1" w:rsidRPr="009C036E" w:rsidRDefault="002326F1" w:rsidP="002326F1">
      <w:pPr>
        <w:spacing w:line="240" w:lineRule="auto"/>
        <w:rPr>
          <w:rFonts w:eastAsia="Calibri" w:cstheme="minorHAnsi"/>
          <w:sz w:val="22"/>
          <w:szCs w:val="22"/>
        </w:rPr>
      </w:pPr>
      <w:r w:rsidRPr="009C036E">
        <w:rPr>
          <w:rFonts w:eastAsia="Calibri" w:cstheme="minorHAnsi"/>
          <w:b/>
          <w:color w:val="6E2F9D"/>
          <w:sz w:val="22"/>
          <w:szCs w:val="22"/>
        </w:rPr>
        <w:t>A person who has management or control of a workplace</w:t>
      </w:r>
      <w:r w:rsidRPr="009C036E">
        <w:rPr>
          <w:rFonts w:eastAsia="Calibri" w:cstheme="minorHAnsi"/>
          <w:color w:val="6E2F9D"/>
          <w:sz w:val="22"/>
          <w:szCs w:val="22"/>
        </w:rPr>
        <w:t xml:space="preserve"> </w:t>
      </w:r>
      <w:r w:rsidRPr="009C036E">
        <w:rPr>
          <w:rFonts w:eastAsia="Calibri" w:cstheme="minorHAnsi"/>
          <w:sz w:val="22"/>
          <w:szCs w:val="22"/>
        </w:rPr>
        <w:t>must ensure, so far as is reasonably practicable, the workplace, the means of entering and exiting the workplace and anything arising from the workplace is without risks to health and safety. This requirement includes work areas where powered mobile plant is being used. They must also manage risks to health and safety associated with plant.</w:t>
      </w:r>
    </w:p>
    <w:p w14:paraId="0221A11B" w14:textId="77777777" w:rsidR="002326F1" w:rsidRPr="009C036E" w:rsidRDefault="002326F1" w:rsidP="002326F1">
      <w:pPr>
        <w:spacing w:line="240" w:lineRule="auto"/>
        <w:rPr>
          <w:rFonts w:eastAsia="Calibri" w:cstheme="minorHAnsi"/>
          <w:sz w:val="22"/>
          <w:szCs w:val="22"/>
        </w:rPr>
      </w:pPr>
      <w:r w:rsidRPr="009C036E">
        <w:rPr>
          <w:rFonts w:eastAsia="Calibri" w:cstheme="minorHAnsi"/>
          <w:b/>
          <w:color w:val="6E2F9D"/>
          <w:sz w:val="22"/>
          <w:szCs w:val="22"/>
        </w:rPr>
        <w:t>Workers</w:t>
      </w:r>
      <w:r w:rsidRPr="009C036E">
        <w:rPr>
          <w:rFonts w:eastAsia="Calibri" w:cstheme="minorHAnsi"/>
          <w:color w:val="000000"/>
          <w:sz w:val="22"/>
          <w:szCs w:val="22"/>
        </w:rPr>
        <w:t xml:space="preserve"> at the workplace must take reasonable care for their own health and safety, co-operate with reasonable policies, procedures and instructions and not adversely affect other people’s health and safety. </w:t>
      </w:r>
      <w:r w:rsidRPr="009C036E">
        <w:rPr>
          <w:rFonts w:eastAsia="Calibri" w:cstheme="minorHAnsi"/>
          <w:sz w:val="22"/>
          <w:szCs w:val="22"/>
        </w:rPr>
        <w:t xml:space="preserve">Workers who operate plant should be competent or suitably supervised during training. </w:t>
      </w:r>
      <w:r w:rsidRPr="009C036E">
        <w:rPr>
          <w:rFonts w:eastAsia="Calibri" w:cstheme="minorHAnsi"/>
          <w:color w:val="000000"/>
          <w:sz w:val="22"/>
          <w:szCs w:val="22"/>
        </w:rPr>
        <w:t xml:space="preserve">A worker who operates plant that requires a licence, must hold a valid HRW licence. </w:t>
      </w:r>
      <w:r w:rsidRPr="009C036E">
        <w:rPr>
          <w:rFonts w:eastAsia="Calibri" w:cstheme="minorHAnsi"/>
          <w:sz w:val="22"/>
          <w:szCs w:val="22"/>
        </w:rPr>
        <w:t xml:space="preserve">A </w:t>
      </w:r>
      <w:hyperlink r:id="rId32" w:anchor="HRW" w:history="1">
        <w:r w:rsidRPr="009C036E">
          <w:rPr>
            <w:rFonts w:eastAsia="Calibri" w:cstheme="minorHAnsi"/>
            <w:sz w:val="22"/>
            <w:szCs w:val="22"/>
          </w:rPr>
          <w:t>HRW</w:t>
        </w:r>
      </w:hyperlink>
      <w:r w:rsidRPr="009C036E">
        <w:rPr>
          <w:rFonts w:eastAsia="Calibri" w:cstheme="minorHAnsi"/>
          <w:sz w:val="22"/>
          <w:szCs w:val="22"/>
        </w:rPr>
        <w:t xml:space="preserve"> licence holder must:</w:t>
      </w:r>
    </w:p>
    <w:p w14:paraId="5F2E2B33" w14:textId="77777777" w:rsidR="002326F1" w:rsidRPr="009C036E" w:rsidRDefault="002326F1" w:rsidP="00082B8D">
      <w:pPr>
        <w:pStyle w:val="ListParagraph"/>
        <w:numPr>
          <w:ilvl w:val="0"/>
          <w:numId w:val="20"/>
        </w:numPr>
        <w:spacing w:before="120" w:line="240" w:lineRule="auto"/>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 xml:space="preserve">only do </w:t>
      </w:r>
      <w:hyperlink r:id="rId33" w:anchor="HRW" w:history="1">
        <w:r w:rsidRPr="009C036E">
          <w:rPr>
            <w:rFonts w:eastAsia="Times New Roman" w:cstheme="minorHAnsi"/>
            <w:color w:val="000000"/>
            <w:sz w:val="22"/>
            <w:szCs w:val="22"/>
            <w:lang w:eastAsia="en-AU"/>
          </w:rPr>
          <w:t>HRW</w:t>
        </w:r>
      </w:hyperlink>
      <w:r w:rsidRPr="009C036E">
        <w:rPr>
          <w:rFonts w:eastAsia="Times New Roman" w:cstheme="minorHAnsi"/>
          <w:color w:val="000000"/>
          <w:sz w:val="22"/>
          <w:szCs w:val="22"/>
          <w:lang w:eastAsia="en-AU"/>
        </w:rPr>
        <w:t xml:space="preserve"> for which they are licensed, and</w:t>
      </w:r>
    </w:p>
    <w:p w14:paraId="093C2BAF" w14:textId="77777777" w:rsidR="002326F1" w:rsidRPr="009C036E" w:rsidRDefault="002326F1" w:rsidP="00082B8D">
      <w:pPr>
        <w:pStyle w:val="ListParagraph"/>
        <w:numPr>
          <w:ilvl w:val="0"/>
          <w:numId w:val="20"/>
        </w:numPr>
        <w:spacing w:before="120" w:line="240" w:lineRule="auto"/>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 xml:space="preserve">comply with any conditions imposed on the </w:t>
      </w:r>
      <w:hyperlink r:id="rId34" w:anchor="HRW" w:history="1">
        <w:r w:rsidRPr="009C036E">
          <w:rPr>
            <w:rFonts w:eastAsia="Times New Roman" w:cstheme="minorHAnsi"/>
            <w:color w:val="000000"/>
            <w:sz w:val="22"/>
            <w:szCs w:val="22"/>
            <w:lang w:eastAsia="en-AU"/>
          </w:rPr>
          <w:t>HRW</w:t>
        </w:r>
      </w:hyperlink>
      <w:r w:rsidRPr="009C036E">
        <w:rPr>
          <w:rFonts w:eastAsia="Times New Roman" w:cstheme="minorHAnsi"/>
          <w:color w:val="000000"/>
          <w:sz w:val="22"/>
          <w:szCs w:val="22"/>
          <w:lang w:eastAsia="en-AU"/>
        </w:rPr>
        <w:t xml:space="preserve"> licence.</w:t>
      </w:r>
    </w:p>
    <w:p w14:paraId="64648F1F" w14:textId="77777777" w:rsidR="002326F1" w:rsidRPr="00FC4180" w:rsidRDefault="002326F1" w:rsidP="002326F1">
      <w:pPr>
        <w:spacing w:before="120" w:line="240" w:lineRule="auto"/>
        <w:rPr>
          <w:rFonts w:eastAsia="Calibri" w:cstheme="minorHAnsi"/>
          <w:b/>
          <w:bCs/>
          <w:color w:val="6E2F9D"/>
          <w:sz w:val="24"/>
          <w:szCs w:val="24"/>
        </w:rPr>
      </w:pPr>
      <w:r w:rsidRPr="00FC4180">
        <w:rPr>
          <w:rFonts w:eastAsia="Calibri" w:cstheme="minorHAnsi"/>
          <w:b/>
          <w:bCs/>
          <w:color w:val="6E2F9D"/>
          <w:sz w:val="24"/>
          <w:szCs w:val="24"/>
        </w:rPr>
        <w:t>What is HRW?</w:t>
      </w:r>
    </w:p>
    <w:p w14:paraId="00D37B19" w14:textId="630E620B"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HRW describes a variety of hazardous work environments as well as the operation of hazardous plant and equipment. The risks arising from these environments and activities are so significant it is considered necessary to apply additional statutory controls on who can conduct this work. Specifically, the model WHS Regulations require people undertaking these work activities to hold a HRW licence. </w:t>
      </w:r>
    </w:p>
    <w:p w14:paraId="3D39AC7E" w14:textId="77777777" w:rsidR="002326F1" w:rsidRPr="009C036E" w:rsidRDefault="002326F1" w:rsidP="002326F1">
      <w:pPr>
        <w:spacing w:before="120" w:line="240" w:lineRule="auto"/>
        <w:rPr>
          <w:rFonts w:eastAsia="Calibri" w:cstheme="minorHAnsi"/>
          <w:b/>
          <w:bCs/>
          <w:color w:val="6E2F9D"/>
          <w:sz w:val="22"/>
          <w:szCs w:val="22"/>
        </w:rPr>
      </w:pPr>
      <w:r w:rsidRPr="00FC4180">
        <w:rPr>
          <w:rFonts w:eastAsia="Calibri" w:cstheme="minorHAnsi"/>
          <w:b/>
          <w:bCs/>
          <w:color w:val="6E2F9D"/>
          <w:sz w:val="24"/>
          <w:szCs w:val="24"/>
        </w:rPr>
        <w:t>What is a HRW licence?</w:t>
      </w:r>
    </w:p>
    <w:p w14:paraId="689B34FD"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A HRW licence demonstrates that the holder has achieved a minimum standard of competency and can undertake the work safely. A HRW licence is an authority from a WHS authority permitting the worker to undertake a prescribed HRW activity. </w:t>
      </w:r>
    </w:p>
    <w:p w14:paraId="254CB83C"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sz w:val="22"/>
          <w:szCs w:val="22"/>
        </w:rPr>
        <w:lastRenderedPageBreak/>
        <w:t>The model WHS Regulations provide a WHS authority the opportunity to set conditions on a HRW licence, such as not operating a crane at night, to ensure the safety of workers and workplaces. The model WHS Regulations also provide a WHS authority with the authority to suspend or cancel a HRW licence, and to disqualify that licence holder from applying for a further HRW licence, to prevent further work occurring if a worker is shown to not be competent.</w:t>
      </w:r>
      <w:r w:rsidRPr="009C036E" w:rsidDel="00126C8D">
        <w:rPr>
          <w:rFonts w:eastAsia="Calibri" w:cstheme="minorHAnsi"/>
          <w:sz w:val="22"/>
          <w:szCs w:val="22"/>
        </w:rPr>
        <w:t xml:space="preserve"> </w:t>
      </w:r>
    </w:p>
    <w:p w14:paraId="0B44A5F9"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A HRW licence helps PCBUs ensure their workers have the minimum competency required to undertake work safely. </w:t>
      </w:r>
    </w:p>
    <w:p w14:paraId="63A00291" w14:textId="77777777" w:rsidR="002326F1" w:rsidRPr="00C74D7B" w:rsidRDefault="002326F1" w:rsidP="002326F1">
      <w:pPr>
        <w:spacing w:before="120" w:line="240" w:lineRule="auto"/>
        <w:rPr>
          <w:rFonts w:eastAsia="Calibri" w:cstheme="minorHAnsi"/>
          <w:b/>
          <w:bCs/>
          <w:color w:val="6E2F9D"/>
          <w:sz w:val="24"/>
          <w:szCs w:val="24"/>
        </w:rPr>
      </w:pPr>
      <w:r w:rsidRPr="00C74D7B">
        <w:rPr>
          <w:rFonts w:eastAsia="Calibri" w:cstheme="minorHAnsi"/>
          <w:b/>
          <w:bCs/>
          <w:color w:val="6E2F9D"/>
          <w:sz w:val="24"/>
          <w:szCs w:val="24"/>
        </w:rPr>
        <w:t xml:space="preserve">What classes of work require a HRW Licence? </w:t>
      </w:r>
    </w:p>
    <w:p w14:paraId="0C8F6EF6"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Schedule 3 to the model WHS Regulations sets out 29 licence classes of HRW. The HRW licence classes generally seek to ensure minimum worker competency to adequately control risks relating to:</w:t>
      </w:r>
    </w:p>
    <w:p w14:paraId="75A097A0" w14:textId="77777777" w:rsidR="002326F1" w:rsidRPr="009C036E" w:rsidRDefault="002326F1" w:rsidP="00082B8D">
      <w:pPr>
        <w:pStyle w:val="ListParagraph"/>
        <w:numPr>
          <w:ilvl w:val="0"/>
          <w:numId w:val="21"/>
        </w:numPr>
        <w:spacing w:before="60" w:after="60" w:line="240" w:lineRule="auto"/>
        <w:ind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plant operation</w:t>
      </w:r>
    </w:p>
    <w:p w14:paraId="2CE5C12C" w14:textId="77777777" w:rsidR="002326F1" w:rsidRPr="009C036E" w:rsidRDefault="002326F1" w:rsidP="00082B8D">
      <w:pPr>
        <w:pStyle w:val="ListParagraph"/>
        <w:numPr>
          <w:ilvl w:val="0"/>
          <w:numId w:val="21"/>
        </w:numPr>
        <w:spacing w:before="60" w:after="60" w:line="240" w:lineRule="auto"/>
        <w:ind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slinging and lifting of loads</w:t>
      </w:r>
    </w:p>
    <w:p w14:paraId="05308C21" w14:textId="77777777" w:rsidR="002326F1" w:rsidRPr="009C036E" w:rsidRDefault="002326F1" w:rsidP="00082B8D">
      <w:pPr>
        <w:pStyle w:val="ListParagraph"/>
        <w:numPr>
          <w:ilvl w:val="0"/>
          <w:numId w:val="21"/>
        </w:numPr>
        <w:spacing w:before="60" w:after="60" w:line="240" w:lineRule="auto"/>
        <w:ind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erection of structures, and</w:t>
      </w:r>
    </w:p>
    <w:p w14:paraId="327C8AFB" w14:textId="77777777" w:rsidR="002326F1" w:rsidRPr="009C036E" w:rsidRDefault="002326F1" w:rsidP="00082B8D">
      <w:pPr>
        <w:pStyle w:val="ListParagraph"/>
        <w:numPr>
          <w:ilvl w:val="0"/>
          <w:numId w:val="21"/>
        </w:numPr>
        <w:spacing w:before="60" w:line="240" w:lineRule="auto"/>
        <w:ind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working at height.</w:t>
      </w:r>
    </w:p>
    <w:p w14:paraId="6EEC937A" w14:textId="2857C743"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Licensing for HRW has a long history in Australia. </w:t>
      </w:r>
      <w:proofErr w:type="gramStart"/>
      <w:r w:rsidRPr="009C036E">
        <w:rPr>
          <w:rFonts w:eastAsia="Calibri" w:cstheme="minorHAnsi"/>
          <w:color w:val="000000"/>
          <w:sz w:val="22"/>
          <w:szCs w:val="22"/>
        </w:rPr>
        <w:t>The vast majority of</w:t>
      </w:r>
      <w:proofErr w:type="gramEnd"/>
      <w:r w:rsidRPr="009C036E">
        <w:rPr>
          <w:rFonts w:eastAsia="Calibri" w:cstheme="minorHAnsi"/>
          <w:color w:val="000000"/>
          <w:sz w:val="22"/>
          <w:szCs w:val="22"/>
        </w:rPr>
        <w:t xml:space="preserve"> classes of work contained within Schedule</w:t>
      </w:r>
      <w:r w:rsidR="002D3967">
        <w:rPr>
          <w:rFonts w:eastAsia="Calibri" w:cstheme="minorHAnsi"/>
          <w:color w:val="000000"/>
          <w:sz w:val="22"/>
          <w:szCs w:val="22"/>
        </w:rPr>
        <w:t xml:space="preserve"> </w:t>
      </w:r>
      <w:r w:rsidRPr="009C036E">
        <w:rPr>
          <w:rFonts w:eastAsia="Calibri" w:cstheme="minorHAnsi"/>
          <w:color w:val="000000"/>
          <w:sz w:val="22"/>
          <w:szCs w:val="22"/>
        </w:rPr>
        <w:t xml:space="preserve">3 date before 1991. </w:t>
      </w:r>
    </w:p>
    <w:p w14:paraId="04E2966D"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In 2011, the model WHS laws were finalised and have been implemented in most states and territories. While Victoria has not implemented the model WHS laws, there is an agreement between WHS authorities that if a person obtains a HRW licence in one Australian jurisdiction, they will be considered competent and permitted to do the relevant HRW in any other Australian jurisdiction.</w:t>
      </w:r>
      <w:r w:rsidRPr="009C036E" w:rsidDel="00084792">
        <w:rPr>
          <w:rFonts w:eastAsia="Calibri" w:cstheme="minorHAnsi"/>
          <w:color w:val="000000"/>
          <w:sz w:val="22"/>
          <w:szCs w:val="22"/>
        </w:rPr>
        <w:t xml:space="preserve"> </w:t>
      </w:r>
    </w:p>
    <w:p w14:paraId="03B184AE" w14:textId="77777777" w:rsidR="002326F1" w:rsidRPr="00C74D7B" w:rsidRDefault="002326F1" w:rsidP="002326F1">
      <w:pPr>
        <w:spacing w:before="120" w:line="240" w:lineRule="auto"/>
        <w:rPr>
          <w:rFonts w:eastAsia="Calibri" w:cstheme="minorHAnsi"/>
          <w:b/>
          <w:bCs/>
          <w:color w:val="6E2F9D"/>
          <w:sz w:val="24"/>
          <w:szCs w:val="24"/>
        </w:rPr>
      </w:pPr>
      <w:r w:rsidRPr="00C74D7B">
        <w:rPr>
          <w:rFonts w:eastAsia="Calibri" w:cstheme="minorHAnsi"/>
          <w:b/>
          <w:bCs/>
          <w:color w:val="6E2F9D"/>
          <w:sz w:val="24"/>
          <w:szCs w:val="24"/>
        </w:rPr>
        <w:t>How is a HRW licence obtained?</w:t>
      </w:r>
    </w:p>
    <w:p w14:paraId="4C3BB9B6"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To obtain a HRW licence, a person must be trained and assessed as competent to undertake the work. </w:t>
      </w:r>
    </w:p>
    <w:p w14:paraId="2A50654B"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The knowledge and skills necessary to undertake HRW are set out in relevant training courses developed by the VET sector. Schedule 4 to the model WHS Regulations sets out the VET courses for each HRW licence class. </w:t>
      </w:r>
    </w:p>
    <w:p w14:paraId="694AB07B"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Training and assessment against a VET course </w:t>
      </w:r>
      <w:proofErr w:type="gramStart"/>
      <w:r w:rsidRPr="009C036E">
        <w:rPr>
          <w:rFonts w:eastAsia="Calibri" w:cstheme="minorHAnsi"/>
          <w:color w:val="000000"/>
          <w:sz w:val="22"/>
          <w:szCs w:val="22"/>
        </w:rPr>
        <w:t>is</w:t>
      </w:r>
      <w:proofErr w:type="gramEnd"/>
      <w:r w:rsidRPr="009C036E">
        <w:rPr>
          <w:rFonts w:eastAsia="Calibri" w:cstheme="minorHAnsi"/>
          <w:color w:val="000000"/>
          <w:sz w:val="22"/>
          <w:szCs w:val="22"/>
        </w:rPr>
        <w:t xml:space="preserve"> delivered by a registered training organisation (RTO) which has been accredited by the Australia Skills Quality Authority, the national VET regulator. </w:t>
      </w:r>
    </w:p>
    <w:p w14:paraId="71614E66"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A person wishing to undertake a certain class of HRW must first be successfully trained and assessed by the RTO. Once assessed competent by the RTO, the person must undergo further assessment against the associated National Assessment Instrument (NAI) endorsed by Safe Work Australia Members. </w:t>
      </w:r>
    </w:p>
    <w:p w14:paraId="3D099897"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NAIs provide a nationally consistent tool for assessing a person’s competence to undertake classes of HRW. NAIs are used by all jurisdictions. In most jurisdictions, assessment against the NAI is conducted by an assessor accredited by the WHS authority. </w:t>
      </w:r>
    </w:p>
    <w:p w14:paraId="342FA44F"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Once assessed as competent by an accredited assessor the person can apply to the WHS authority for a HRW licence. </w:t>
      </w:r>
    </w:p>
    <w:p w14:paraId="4BD94BF8" w14:textId="77777777" w:rsidR="002D3967" w:rsidRDefault="002D3967" w:rsidP="002326F1">
      <w:pPr>
        <w:spacing w:before="120" w:line="240" w:lineRule="auto"/>
        <w:rPr>
          <w:rFonts w:eastAsia="Calibri" w:cstheme="minorHAnsi"/>
          <w:b/>
          <w:bCs/>
          <w:color w:val="6E2F9D"/>
          <w:sz w:val="24"/>
          <w:szCs w:val="24"/>
        </w:rPr>
      </w:pPr>
    </w:p>
    <w:p w14:paraId="5891D371" w14:textId="77777777" w:rsidR="002D3967" w:rsidRDefault="002D3967" w:rsidP="002326F1">
      <w:pPr>
        <w:spacing w:before="120" w:line="240" w:lineRule="auto"/>
        <w:rPr>
          <w:rFonts w:eastAsia="Calibri" w:cstheme="minorHAnsi"/>
          <w:b/>
          <w:bCs/>
          <w:color w:val="6E2F9D"/>
          <w:sz w:val="24"/>
          <w:szCs w:val="24"/>
        </w:rPr>
      </w:pPr>
    </w:p>
    <w:p w14:paraId="03A83077" w14:textId="77777777" w:rsidR="002D3967" w:rsidRDefault="002D3967" w:rsidP="002326F1">
      <w:pPr>
        <w:spacing w:before="120" w:line="240" w:lineRule="auto"/>
        <w:rPr>
          <w:rFonts w:eastAsia="Calibri" w:cstheme="minorHAnsi"/>
          <w:b/>
          <w:bCs/>
          <w:color w:val="6E2F9D"/>
          <w:sz w:val="24"/>
          <w:szCs w:val="24"/>
        </w:rPr>
      </w:pPr>
    </w:p>
    <w:p w14:paraId="22BF412B" w14:textId="6D6981DF" w:rsidR="002326F1" w:rsidRPr="00C74D7B" w:rsidRDefault="002326F1" w:rsidP="002326F1">
      <w:pPr>
        <w:spacing w:before="120" w:line="240" w:lineRule="auto"/>
        <w:rPr>
          <w:rFonts w:eastAsia="Calibri" w:cstheme="minorHAnsi"/>
          <w:b/>
          <w:bCs/>
          <w:color w:val="6E2F9D"/>
          <w:sz w:val="24"/>
          <w:szCs w:val="24"/>
        </w:rPr>
      </w:pPr>
      <w:r w:rsidRPr="00C74D7B">
        <w:rPr>
          <w:rFonts w:eastAsia="Calibri" w:cstheme="minorHAnsi"/>
          <w:b/>
          <w:bCs/>
          <w:color w:val="6E2F9D"/>
          <w:sz w:val="24"/>
          <w:szCs w:val="24"/>
        </w:rPr>
        <w:lastRenderedPageBreak/>
        <w:t>What HRW licensing is required for crane operations?</w:t>
      </w:r>
    </w:p>
    <w:p w14:paraId="1E33D9A0" w14:textId="77777777" w:rsidR="002326F1" w:rsidRPr="009C036E" w:rsidRDefault="002326F1" w:rsidP="002326F1">
      <w:pPr>
        <w:shd w:val="clear" w:color="auto" w:fill="FFFFFF"/>
        <w:spacing w:before="115" w:line="240" w:lineRule="auto"/>
        <w:rPr>
          <w:rFonts w:eastAsia="Times New Roman" w:cstheme="minorHAnsi"/>
          <w:sz w:val="22"/>
          <w:szCs w:val="22"/>
          <w:lang w:eastAsia="en-AU"/>
        </w:rPr>
      </w:pPr>
      <w:r w:rsidRPr="009C036E">
        <w:rPr>
          <w:rFonts w:eastAsia="Times New Roman" w:cstheme="minorHAnsi"/>
          <w:color w:val="000000"/>
          <w:sz w:val="22"/>
          <w:szCs w:val="22"/>
          <w:lang w:eastAsia="en-AU"/>
        </w:rPr>
        <w:t>The operation of certain types of cranes is ‘high risk work’ under the model WHS Regulations and, as such, a person must not operate certain cranes without holding the appropriate HRW licence. Licence classes for the use of cranes include:</w:t>
      </w:r>
      <w:r w:rsidRPr="009C036E">
        <w:rPr>
          <w:rFonts w:eastAsia="Times New Roman" w:cstheme="minorHAnsi"/>
          <w:sz w:val="22"/>
          <w:szCs w:val="22"/>
          <w:lang w:eastAsia="en-AU"/>
        </w:rPr>
        <w:t xml:space="preserve"> </w:t>
      </w:r>
    </w:p>
    <w:p w14:paraId="4630A225" w14:textId="77777777" w:rsidR="002326F1" w:rsidRPr="009C036E" w:rsidRDefault="002326F1" w:rsidP="00082B8D">
      <w:pPr>
        <w:pStyle w:val="ListParagraph"/>
        <w:numPr>
          <w:ilvl w:val="0"/>
          <w:numId w:val="22"/>
        </w:numPr>
        <w:shd w:val="clear" w:color="auto" w:fill="FFFFFF"/>
        <w:spacing w:after="40" w:line="240" w:lineRule="auto"/>
        <w:ind w:left="714" w:hanging="357"/>
        <w:contextualSpacing w:val="0"/>
        <w:rPr>
          <w:rFonts w:eastAsia="Times New Roman" w:cstheme="minorHAnsi"/>
          <w:sz w:val="22"/>
          <w:szCs w:val="22"/>
          <w:lang w:eastAsia="en-AU"/>
        </w:rPr>
      </w:pPr>
      <w:r w:rsidRPr="009C036E">
        <w:rPr>
          <w:rFonts w:eastAsia="Times New Roman" w:cstheme="minorHAnsi"/>
          <w:color w:val="000000"/>
          <w:sz w:val="22"/>
          <w:szCs w:val="22"/>
          <w:lang w:eastAsia="en-AU"/>
        </w:rPr>
        <w:t>Tower crane (</w:t>
      </w:r>
      <w:bookmarkStart w:id="69" w:name="_Hlk51674886"/>
      <w:r w:rsidRPr="009C036E">
        <w:rPr>
          <w:rFonts w:eastAsia="Times New Roman" w:cstheme="minorHAnsi"/>
          <w:color w:val="000000"/>
          <w:sz w:val="22"/>
          <w:szCs w:val="22"/>
          <w:lang w:eastAsia="en-AU"/>
        </w:rPr>
        <w:t xml:space="preserve">Class </w:t>
      </w:r>
      <w:bookmarkEnd w:id="69"/>
      <w:r w:rsidRPr="009C036E">
        <w:rPr>
          <w:rFonts w:eastAsia="Times New Roman" w:cstheme="minorHAnsi"/>
          <w:color w:val="000000"/>
          <w:sz w:val="22"/>
          <w:szCs w:val="22"/>
          <w:lang w:eastAsia="en-AU"/>
        </w:rPr>
        <w:t>CT)</w:t>
      </w:r>
    </w:p>
    <w:p w14:paraId="52C9492C"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Self-erecting tower crane (Class CS)</w:t>
      </w:r>
    </w:p>
    <w:p w14:paraId="0F08EDC3"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Derrick crane (Class CD)</w:t>
      </w:r>
    </w:p>
    <w:p w14:paraId="6495FDF9"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Portal boom crane (Class CP)</w:t>
      </w:r>
    </w:p>
    <w:p w14:paraId="693D12C5"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Bridge and gantry crane (Class CB)</w:t>
      </w:r>
    </w:p>
    <w:p w14:paraId="6705FD2F"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Vehicle loading crane (Class CV)</w:t>
      </w:r>
    </w:p>
    <w:p w14:paraId="6BCEEA4F"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Non-slewing mobile crane (Class CN)</w:t>
      </w:r>
    </w:p>
    <w:p w14:paraId="7BFFCAA9"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Slewing mobile crane – with a capacity up to 20 tonnes (Class C2)</w:t>
      </w:r>
    </w:p>
    <w:p w14:paraId="1F0EC03D"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Slewing mobile crane – with a capacity up to 60 tonnes (Class C6)</w:t>
      </w:r>
    </w:p>
    <w:p w14:paraId="13F1ADF8" w14:textId="77777777" w:rsidR="002326F1" w:rsidRPr="009C036E" w:rsidRDefault="002326F1" w:rsidP="00082B8D">
      <w:pPr>
        <w:pStyle w:val="ListParagraph"/>
        <w:numPr>
          <w:ilvl w:val="0"/>
          <w:numId w:val="22"/>
        </w:numPr>
        <w:spacing w:after="40" w:line="240" w:lineRule="auto"/>
        <w:ind w:left="714" w:hanging="357"/>
        <w:contextualSpacing w:val="0"/>
        <w:rPr>
          <w:rFonts w:eastAsia="Times New Roman" w:cstheme="minorHAnsi"/>
          <w:color w:val="000000"/>
          <w:sz w:val="22"/>
          <w:szCs w:val="22"/>
          <w:lang w:eastAsia="en-AU"/>
        </w:rPr>
      </w:pPr>
      <w:r w:rsidRPr="009C036E">
        <w:rPr>
          <w:rFonts w:eastAsia="Times New Roman" w:cstheme="minorHAnsi"/>
          <w:color w:val="000000"/>
          <w:sz w:val="22"/>
          <w:szCs w:val="22"/>
          <w:lang w:eastAsia="en-AU"/>
        </w:rPr>
        <w:t>Slewing mobile crane – with a capacity up to 100 tonnes (Class C1)</w:t>
      </w:r>
    </w:p>
    <w:p w14:paraId="39ABB359" w14:textId="77777777" w:rsidR="002326F1" w:rsidRPr="009C036E" w:rsidRDefault="002326F1" w:rsidP="00082B8D">
      <w:pPr>
        <w:pStyle w:val="ListParagraph"/>
        <w:numPr>
          <w:ilvl w:val="0"/>
          <w:numId w:val="22"/>
        </w:numPr>
        <w:spacing w:line="240" w:lineRule="auto"/>
        <w:ind w:left="714" w:hanging="357"/>
        <w:contextualSpacing w:val="0"/>
        <w:rPr>
          <w:rFonts w:eastAsia="Times New Roman" w:cstheme="minorHAnsi"/>
          <w:sz w:val="22"/>
          <w:szCs w:val="22"/>
          <w:lang w:eastAsia="en-AU"/>
        </w:rPr>
      </w:pPr>
      <w:r w:rsidRPr="009C036E">
        <w:rPr>
          <w:rFonts w:eastAsia="Times New Roman" w:cstheme="minorHAnsi"/>
          <w:color w:val="000000"/>
          <w:sz w:val="22"/>
          <w:szCs w:val="22"/>
          <w:lang w:eastAsia="en-AU"/>
        </w:rPr>
        <w:t>Slewing mobile crane – with a capacity over 100 tonnes (Class CO)</w:t>
      </w:r>
    </w:p>
    <w:p w14:paraId="0B0C3647" w14:textId="77777777" w:rsidR="002326F1" w:rsidRPr="009C036E" w:rsidRDefault="002326F1" w:rsidP="002326F1">
      <w:pPr>
        <w:shd w:val="clear" w:color="auto" w:fill="FFFFFF"/>
        <w:spacing w:before="60" w:line="240" w:lineRule="auto"/>
        <w:rPr>
          <w:rFonts w:eastAsia="Times New Roman" w:cstheme="minorHAnsi"/>
          <w:sz w:val="22"/>
          <w:szCs w:val="22"/>
          <w:lang w:eastAsia="en-AU"/>
        </w:rPr>
      </w:pPr>
      <w:r w:rsidRPr="009C036E">
        <w:rPr>
          <w:rFonts w:eastAsia="Times New Roman" w:cstheme="minorHAnsi"/>
          <w:color w:val="000000"/>
          <w:sz w:val="22"/>
          <w:szCs w:val="22"/>
          <w:lang w:eastAsia="en-AU"/>
        </w:rPr>
        <w:t>(Schedule 3 to the model WHS Regulations, Table 3.1, Items 8 to 18).</w:t>
      </w:r>
    </w:p>
    <w:p w14:paraId="6E8AE635" w14:textId="77777777" w:rsidR="002326F1" w:rsidRPr="00C74D7B" w:rsidRDefault="002326F1" w:rsidP="002326F1">
      <w:pPr>
        <w:spacing w:before="120" w:line="240" w:lineRule="auto"/>
        <w:rPr>
          <w:rFonts w:eastAsia="Calibri" w:cstheme="minorHAnsi"/>
          <w:b/>
          <w:bCs/>
          <w:color w:val="6E2F9D"/>
          <w:sz w:val="24"/>
          <w:szCs w:val="24"/>
        </w:rPr>
      </w:pPr>
      <w:r w:rsidRPr="00C74D7B">
        <w:rPr>
          <w:rFonts w:eastAsia="Calibri" w:cstheme="minorHAnsi"/>
          <w:b/>
          <w:bCs/>
          <w:color w:val="6E2F9D"/>
          <w:sz w:val="24"/>
          <w:szCs w:val="24"/>
        </w:rPr>
        <w:t>Who bears the cost of HRW licensing?</w:t>
      </w:r>
    </w:p>
    <w:p w14:paraId="61AE63BB"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Duty holders under the model WHS laws include PCBUs, officers, workers and other persons at the workplace, as well as designers, manufacturers, importers, and suppliers of plant, substances, or structures. All have a role to play to ensure that health and safety is a priority in the workplace. </w:t>
      </w:r>
    </w:p>
    <w:p w14:paraId="7A34ED19" w14:textId="77777777" w:rsidR="002326F1" w:rsidRPr="009C036E" w:rsidRDefault="002326F1" w:rsidP="002326F1">
      <w:pPr>
        <w:spacing w:line="240" w:lineRule="auto"/>
        <w:rPr>
          <w:rFonts w:eastAsia="Calibri" w:cstheme="minorHAnsi"/>
          <w:color w:val="000000"/>
          <w:sz w:val="22"/>
          <w:szCs w:val="22"/>
        </w:rPr>
      </w:pPr>
      <w:r w:rsidRPr="009C036E">
        <w:rPr>
          <w:rFonts w:eastAsia="Calibri" w:cstheme="minorHAnsi"/>
          <w:color w:val="000000"/>
          <w:sz w:val="22"/>
          <w:szCs w:val="22"/>
        </w:rPr>
        <w:t xml:space="preserve">The burden of HRW licensing is primarily carried by workers as training, obtaining a licence, and renewing a licence generally falls on the licence holder. Some businesses may decide to pay these costs for their workers. </w:t>
      </w:r>
    </w:p>
    <w:p w14:paraId="45929FC1" w14:textId="77777777" w:rsidR="002326F1" w:rsidRPr="009C036E" w:rsidRDefault="002326F1" w:rsidP="002326F1">
      <w:pPr>
        <w:spacing w:line="240" w:lineRule="auto"/>
        <w:rPr>
          <w:rFonts w:eastAsia="Calibri" w:cstheme="minorHAnsi"/>
          <w:sz w:val="22"/>
          <w:szCs w:val="22"/>
        </w:rPr>
      </w:pPr>
    </w:p>
    <w:p w14:paraId="294930AF" w14:textId="77777777" w:rsidR="002326F1" w:rsidRDefault="002326F1" w:rsidP="002326F1">
      <w:pPr>
        <w:spacing w:line="240" w:lineRule="auto"/>
        <w:rPr>
          <w:rFonts w:ascii="Calibri" w:eastAsia="Calibri" w:hAnsi="Calibri" w:cs="Calibri"/>
          <w:sz w:val="2"/>
          <w:szCs w:val="2"/>
        </w:rPr>
      </w:pPr>
    </w:p>
    <w:p w14:paraId="77DD61D8" w14:textId="77777777" w:rsidR="002326F1" w:rsidRDefault="002326F1" w:rsidP="002326F1">
      <w:pPr>
        <w:spacing w:line="240" w:lineRule="auto"/>
        <w:rPr>
          <w:rFonts w:ascii="Calibri" w:eastAsia="Calibri" w:hAnsi="Calibri" w:cs="Calibri"/>
          <w:sz w:val="2"/>
          <w:szCs w:val="2"/>
        </w:rPr>
      </w:pPr>
    </w:p>
    <w:p w14:paraId="02FF9C20" w14:textId="77777777" w:rsidR="002326F1" w:rsidRDefault="002326F1" w:rsidP="002326F1">
      <w:pPr>
        <w:spacing w:line="240" w:lineRule="auto"/>
        <w:rPr>
          <w:rFonts w:ascii="Calibri" w:eastAsia="Calibri" w:hAnsi="Calibri" w:cs="Calibri"/>
          <w:sz w:val="2"/>
          <w:szCs w:val="2"/>
        </w:rPr>
      </w:pPr>
    </w:p>
    <w:p w14:paraId="12AC1195" w14:textId="77777777" w:rsidR="00A3371E" w:rsidRDefault="00A3371E" w:rsidP="00A3371E">
      <w:pPr>
        <w:pStyle w:val="SWAHeading1"/>
        <w:numPr>
          <w:ilvl w:val="0"/>
          <w:numId w:val="0"/>
        </w:numPr>
      </w:pPr>
      <w:bookmarkStart w:id="70" w:name="_Toc194323250"/>
      <w:bookmarkStart w:id="71" w:name="_Toc203021412"/>
      <w:bookmarkStart w:id="72" w:name="_Toc221540328"/>
      <w:r w:rsidRPr="00A9399B">
        <w:lastRenderedPageBreak/>
        <w:t>APPENDIX</w:t>
      </w:r>
      <w:r w:rsidRPr="00687025">
        <w:t xml:space="preserve"> </w:t>
      </w:r>
      <w:r>
        <w:t>C</w:t>
      </w:r>
      <w:r w:rsidRPr="00687025">
        <w:t xml:space="preserve"> – </w:t>
      </w:r>
      <w:r>
        <w:t>Full list of discussion questions</w:t>
      </w:r>
      <w:bookmarkEnd w:id="70"/>
      <w:bookmarkEnd w:id="71"/>
      <w:bookmarkEnd w:id="72"/>
    </w:p>
    <w:tbl>
      <w:tblPr>
        <w:tblStyle w:val="TableGrid"/>
        <w:tblW w:w="0" w:type="auto"/>
        <w:tblLook w:val="04A0" w:firstRow="1" w:lastRow="0" w:firstColumn="1" w:lastColumn="0" w:noHBand="0" w:noVBand="1"/>
      </w:tblPr>
      <w:tblGrid>
        <w:gridCol w:w="9016"/>
      </w:tblGrid>
      <w:tr w:rsidR="00EB5DE6" w:rsidRPr="00D4728B" w14:paraId="216F6CB0" w14:textId="77777777" w:rsidTr="0045747B">
        <w:tc>
          <w:tcPr>
            <w:tcW w:w="9016" w:type="dxa"/>
            <w:tcBorders>
              <w:bottom w:val="single" w:sz="4" w:space="0" w:color="auto"/>
            </w:tcBorders>
            <w:shd w:val="clear" w:color="auto" w:fill="D5B8EA"/>
          </w:tcPr>
          <w:p w14:paraId="7F34A373" w14:textId="0C2041E9" w:rsidR="00EB5DE6" w:rsidRPr="00E460DC" w:rsidRDefault="00E460DC" w:rsidP="007A2A50">
            <w:pPr>
              <w:spacing w:before="120" w:after="120" w:line="259" w:lineRule="auto"/>
              <w:rPr>
                <w:rFonts w:cstheme="minorHAnsi"/>
                <w:sz w:val="22"/>
                <w:szCs w:val="22"/>
              </w:rPr>
            </w:pPr>
            <w:r>
              <w:rPr>
                <w:rFonts w:eastAsiaTheme="minorHAnsi" w:cstheme="minorHAnsi"/>
                <w:b/>
                <w:sz w:val="24"/>
                <w:szCs w:val="24"/>
                <w:u w:val="single"/>
              </w:rPr>
              <w:t xml:space="preserve">Option 1: </w:t>
            </w:r>
            <w:r w:rsidR="00E02506" w:rsidRPr="00E02506">
              <w:rPr>
                <w:rFonts w:cstheme="minorHAnsi"/>
                <w:b/>
                <w:bCs/>
                <w:iCs/>
                <w:sz w:val="24"/>
                <w:szCs w:val="24"/>
              </w:rPr>
              <w:t>Retain existing arrangements with the development of supporting national guidance (non-regulatory option</w:t>
            </w:r>
            <w:r w:rsidR="00E02506">
              <w:rPr>
                <w:rFonts w:cstheme="minorHAnsi"/>
                <w:b/>
                <w:bCs/>
                <w:iCs/>
                <w:sz w:val="24"/>
                <w:szCs w:val="24"/>
              </w:rPr>
              <w:t>).</w:t>
            </w:r>
          </w:p>
        </w:tc>
      </w:tr>
      <w:tr w:rsidR="00E460DC" w:rsidRPr="00D4728B" w14:paraId="33377739" w14:textId="77777777" w:rsidTr="005C4A9F">
        <w:tc>
          <w:tcPr>
            <w:tcW w:w="9016" w:type="dxa"/>
            <w:tcBorders>
              <w:bottom w:val="single" w:sz="4" w:space="0" w:color="auto"/>
            </w:tcBorders>
            <w:shd w:val="clear" w:color="auto" w:fill="EADBF5"/>
          </w:tcPr>
          <w:p w14:paraId="70F1735E" w14:textId="77777777" w:rsidR="00C76015" w:rsidRPr="003F345E" w:rsidRDefault="00C76015" w:rsidP="002621AC">
            <w:pPr>
              <w:spacing w:before="120" w:after="120" w:line="259" w:lineRule="auto"/>
              <w:rPr>
                <w:rFonts w:cstheme="minorHAnsi"/>
                <w:sz w:val="22"/>
                <w:szCs w:val="22"/>
              </w:rPr>
            </w:pPr>
            <w:r>
              <w:rPr>
                <w:rFonts w:cstheme="minorHAnsi"/>
                <w:iCs/>
                <w:sz w:val="22"/>
                <w:szCs w:val="22"/>
                <w:u w:val="single"/>
              </w:rPr>
              <w:t>Support and implementation</w:t>
            </w:r>
          </w:p>
          <w:p w14:paraId="79E3E404" w14:textId="7D764D70" w:rsidR="00C76015" w:rsidRPr="00C76015" w:rsidRDefault="00C76015" w:rsidP="002621AC">
            <w:pPr>
              <w:spacing w:after="120" w:line="22" w:lineRule="atLeast"/>
              <w:rPr>
                <w:rFonts w:cstheme="minorHAnsi"/>
                <w:sz w:val="22"/>
                <w:szCs w:val="22"/>
              </w:rPr>
            </w:pPr>
            <w:r w:rsidRPr="002621AC">
              <w:rPr>
                <w:rFonts w:cstheme="minorHAnsi"/>
                <w:sz w:val="22"/>
                <w:szCs w:val="22"/>
              </w:rPr>
              <w:t>1.</w:t>
            </w:r>
            <w:r>
              <w:rPr>
                <w:rFonts w:cstheme="minorHAnsi"/>
                <w:b/>
                <w:bCs/>
                <w:sz w:val="22"/>
                <w:szCs w:val="22"/>
              </w:rPr>
              <w:t xml:space="preserve"> </w:t>
            </w:r>
            <w:r w:rsidRPr="00C76015">
              <w:rPr>
                <w:rFonts w:cstheme="minorHAnsi"/>
                <w:b/>
                <w:bCs/>
                <w:sz w:val="22"/>
                <w:szCs w:val="22"/>
              </w:rPr>
              <w:t>Do you support Option 1 – retaining current arrangements with the development of supporting national guidance?</w:t>
            </w:r>
            <w:r w:rsidRPr="00C76015">
              <w:rPr>
                <w:b/>
                <w:bCs/>
                <w:sz w:val="22"/>
                <w:szCs w:val="22"/>
              </w:rPr>
              <w:t xml:space="preserve"> </w:t>
            </w:r>
            <w:r w:rsidRPr="00C76015">
              <w:rPr>
                <w:sz w:val="22"/>
                <w:szCs w:val="22"/>
              </w:rPr>
              <w:t>Please explain and provide evidence to support your views where possible.</w:t>
            </w:r>
          </w:p>
          <w:p w14:paraId="36AF6BDC" w14:textId="13BD937B" w:rsidR="00C76015" w:rsidRPr="00C76015" w:rsidRDefault="00C76015" w:rsidP="002621AC">
            <w:pPr>
              <w:spacing w:before="120" w:after="120" w:line="22" w:lineRule="atLeast"/>
              <w:rPr>
                <w:rFonts w:cstheme="minorHAnsi"/>
                <w:sz w:val="22"/>
                <w:szCs w:val="22"/>
              </w:rPr>
            </w:pPr>
            <w:r w:rsidRPr="002621AC">
              <w:rPr>
                <w:sz w:val="22"/>
                <w:szCs w:val="22"/>
              </w:rPr>
              <w:t>2.</w:t>
            </w:r>
            <w:r>
              <w:rPr>
                <w:b/>
                <w:bCs/>
                <w:sz w:val="22"/>
                <w:szCs w:val="22"/>
              </w:rPr>
              <w:t xml:space="preserve"> </w:t>
            </w:r>
            <w:r w:rsidRPr="00C76015">
              <w:rPr>
                <w:b/>
                <w:bCs/>
                <w:sz w:val="22"/>
                <w:szCs w:val="22"/>
              </w:rPr>
              <w:t>What impact would this option have for you and your organisation?</w:t>
            </w:r>
            <w:r w:rsidRPr="00C76015">
              <w:rPr>
                <w:sz w:val="22"/>
                <w:szCs w:val="22"/>
              </w:rPr>
              <w:br/>
              <w:t>Consider improvements in WHS outcomes, business costs, and any other significant impacts.</w:t>
            </w:r>
          </w:p>
          <w:p w14:paraId="1D17C042" w14:textId="18C29917" w:rsidR="00E460DC" w:rsidRPr="00E460DC" w:rsidRDefault="00C76015" w:rsidP="002621AC">
            <w:pPr>
              <w:spacing w:before="120" w:after="120" w:line="22" w:lineRule="atLeast"/>
              <w:rPr>
                <w:rFonts w:cstheme="minorHAnsi"/>
                <w:sz w:val="24"/>
                <w:szCs w:val="24"/>
              </w:rPr>
            </w:pPr>
            <w:r w:rsidRPr="002621AC">
              <w:rPr>
                <w:bCs/>
                <w:sz w:val="22"/>
                <w:szCs w:val="22"/>
              </w:rPr>
              <w:t>3.</w:t>
            </w:r>
            <w:r>
              <w:rPr>
                <w:b/>
                <w:sz w:val="22"/>
                <w:szCs w:val="22"/>
              </w:rPr>
              <w:t xml:space="preserve"> </w:t>
            </w:r>
            <w:r w:rsidRPr="00B77DAC">
              <w:rPr>
                <w:b/>
                <w:sz w:val="22"/>
                <w:szCs w:val="22"/>
              </w:rPr>
              <w:t>Are there additional non-regulatory approaches</w:t>
            </w:r>
            <w:r>
              <w:rPr>
                <w:b/>
                <w:sz w:val="22"/>
                <w:szCs w:val="22"/>
              </w:rPr>
              <w:t xml:space="preserve"> (in addition to guidance)</w:t>
            </w:r>
            <w:r w:rsidRPr="00B77DAC">
              <w:rPr>
                <w:b/>
                <w:sz w:val="22"/>
                <w:szCs w:val="22"/>
              </w:rPr>
              <w:t xml:space="preserve"> that should be considered to better support safe practices?</w:t>
            </w:r>
          </w:p>
        </w:tc>
      </w:tr>
      <w:tr w:rsidR="006F6F66" w:rsidRPr="00D4728B" w14:paraId="19B37A8A" w14:textId="77777777" w:rsidTr="004C4B04">
        <w:tc>
          <w:tcPr>
            <w:tcW w:w="9016" w:type="dxa"/>
            <w:tcBorders>
              <w:bottom w:val="single" w:sz="4" w:space="0" w:color="auto"/>
            </w:tcBorders>
            <w:shd w:val="clear" w:color="auto" w:fill="D5B8EA"/>
          </w:tcPr>
          <w:p w14:paraId="6868DB57" w14:textId="459D6005" w:rsidR="006F6F66" w:rsidRDefault="00372A96" w:rsidP="00372A96">
            <w:pPr>
              <w:spacing w:before="120" w:after="60" w:line="259" w:lineRule="auto"/>
              <w:rPr>
                <w:rFonts w:cstheme="minorHAnsi"/>
                <w:iCs/>
                <w:sz w:val="22"/>
                <w:szCs w:val="22"/>
                <w:u w:val="single"/>
              </w:rPr>
            </w:pPr>
            <w:r w:rsidRPr="009C036E">
              <w:rPr>
                <w:rFonts w:eastAsiaTheme="minorHAnsi" w:cstheme="minorHAnsi"/>
                <w:b/>
                <w:sz w:val="24"/>
                <w:szCs w:val="24"/>
                <w:u w:val="single"/>
              </w:rPr>
              <w:t xml:space="preserve">Option </w:t>
            </w:r>
            <w:r>
              <w:rPr>
                <w:rFonts w:eastAsiaTheme="minorHAnsi" w:cstheme="minorHAnsi"/>
                <w:b/>
                <w:sz w:val="24"/>
                <w:szCs w:val="24"/>
                <w:u w:val="single"/>
              </w:rPr>
              <w:t>2</w:t>
            </w:r>
            <w:r w:rsidRPr="009C036E">
              <w:rPr>
                <w:rFonts w:eastAsiaTheme="minorHAnsi" w:cstheme="minorHAnsi"/>
                <w:b/>
                <w:sz w:val="24"/>
                <w:szCs w:val="24"/>
              </w:rPr>
              <w:t xml:space="preserve">: </w:t>
            </w:r>
            <w:r w:rsidR="00BA2C43">
              <w:rPr>
                <w:rFonts w:eastAsiaTheme="minorHAnsi" w:cstheme="minorHAnsi"/>
                <w:b/>
                <w:sz w:val="24"/>
                <w:szCs w:val="24"/>
              </w:rPr>
              <w:t>I</w:t>
            </w:r>
            <w:r>
              <w:rPr>
                <w:rFonts w:eastAsiaTheme="minorHAnsi" w:cstheme="minorHAnsi"/>
                <w:b/>
                <w:sz w:val="24"/>
                <w:szCs w:val="24"/>
              </w:rPr>
              <w:t xml:space="preserve">ntroduce a </w:t>
            </w:r>
            <w:r w:rsidR="00982D93">
              <w:rPr>
                <w:rFonts w:eastAsiaTheme="minorHAnsi" w:cstheme="minorHAnsi"/>
                <w:b/>
                <w:sz w:val="24"/>
                <w:szCs w:val="24"/>
              </w:rPr>
              <w:t>mandated</w:t>
            </w:r>
            <w:r>
              <w:rPr>
                <w:rFonts w:eastAsiaTheme="minorHAnsi" w:cstheme="minorHAnsi"/>
                <w:b/>
                <w:sz w:val="24"/>
                <w:szCs w:val="24"/>
              </w:rPr>
              <w:t xml:space="preserve"> training </w:t>
            </w:r>
            <w:r w:rsidR="00982D93">
              <w:rPr>
                <w:rFonts w:eastAsiaTheme="minorHAnsi" w:cstheme="minorHAnsi"/>
                <w:b/>
                <w:sz w:val="24"/>
                <w:szCs w:val="24"/>
              </w:rPr>
              <w:t>requirement</w:t>
            </w:r>
            <w:r>
              <w:rPr>
                <w:rFonts w:eastAsiaTheme="minorHAnsi" w:cstheme="minorHAnsi"/>
                <w:b/>
                <w:sz w:val="24"/>
                <w:szCs w:val="24"/>
              </w:rPr>
              <w:t xml:space="preserve"> for </w:t>
            </w:r>
            <w:r w:rsidR="00982D93">
              <w:rPr>
                <w:rFonts w:eastAsiaTheme="minorHAnsi" w:cstheme="minorHAnsi"/>
                <w:b/>
                <w:sz w:val="24"/>
                <w:szCs w:val="24"/>
              </w:rPr>
              <w:t>c</w:t>
            </w:r>
            <w:r w:rsidRPr="009C036E">
              <w:rPr>
                <w:rFonts w:eastAsiaTheme="minorHAnsi" w:cstheme="minorHAnsi"/>
                <w:b/>
                <w:sz w:val="24"/>
                <w:szCs w:val="24"/>
              </w:rPr>
              <w:t xml:space="preserve">rane </w:t>
            </w:r>
            <w:r w:rsidR="00982D93">
              <w:rPr>
                <w:rFonts w:eastAsiaTheme="minorHAnsi" w:cstheme="minorHAnsi"/>
                <w:b/>
                <w:sz w:val="24"/>
                <w:szCs w:val="24"/>
              </w:rPr>
              <w:t>operations on or over water</w:t>
            </w:r>
            <w:r w:rsidRPr="009C036E">
              <w:rPr>
                <w:rFonts w:eastAsiaTheme="minorHAnsi" w:cstheme="minorHAnsi"/>
                <w:b/>
                <w:sz w:val="24"/>
                <w:szCs w:val="24"/>
              </w:rPr>
              <w:t>.</w:t>
            </w:r>
          </w:p>
        </w:tc>
      </w:tr>
      <w:tr w:rsidR="006F6F66" w:rsidRPr="00D4728B" w14:paraId="183F5DBA" w14:textId="77777777" w:rsidTr="005C4A9F">
        <w:tc>
          <w:tcPr>
            <w:tcW w:w="9016" w:type="dxa"/>
            <w:tcBorders>
              <w:bottom w:val="single" w:sz="4" w:space="0" w:color="auto"/>
            </w:tcBorders>
            <w:shd w:val="clear" w:color="auto" w:fill="EADBF5"/>
          </w:tcPr>
          <w:p w14:paraId="212BA998" w14:textId="77777777" w:rsidR="00B179A5" w:rsidRPr="009C036E" w:rsidRDefault="00B179A5" w:rsidP="002621AC">
            <w:pPr>
              <w:spacing w:before="120" w:after="120" w:line="259" w:lineRule="auto"/>
              <w:rPr>
                <w:rFonts w:cstheme="minorHAnsi"/>
                <w:sz w:val="22"/>
                <w:szCs w:val="22"/>
                <w:u w:val="single"/>
              </w:rPr>
            </w:pPr>
            <w:r>
              <w:rPr>
                <w:rFonts w:cstheme="minorHAnsi"/>
                <w:sz w:val="22"/>
                <w:szCs w:val="22"/>
                <w:u w:val="single"/>
              </w:rPr>
              <w:t>Support and implementation</w:t>
            </w:r>
          </w:p>
          <w:p w14:paraId="2315E77D" w14:textId="474FBC3D" w:rsidR="00B179A5" w:rsidRPr="00B179A5" w:rsidRDefault="00B179A5" w:rsidP="004C5183">
            <w:pPr>
              <w:spacing w:before="60" w:after="40" w:line="259" w:lineRule="auto"/>
              <w:rPr>
                <w:rFonts w:cstheme="minorHAnsi"/>
                <w:sz w:val="22"/>
                <w:szCs w:val="22"/>
              </w:rPr>
            </w:pPr>
            <w:r w:rsidRPr="004C5183">
              <w:rPr>
                <w:rFonts w:cstheme="minorHAnsi"/>
                <w:sz w:val="22"/>
                <w:szCs w:val="22"/>
              </w:rPr>
              <w:t>4.</w:t>
            </w:r>
            <w:r w:rsidRPr="004C5183">
              <w:rPr>
                <w:rFonts w:cstheme="minorHAnsi"/>
                <w:b/>
                <w:bCs/>
                <w:sz w:val="22"/>
                <w:szCs w:val="22"/>
              </w:rPr>
              <w:t xml:space="preserve"> </w:t>
            </w:r>
            <w:r w:rsidR="004C5183" w:rsidRPr="004C5183">
              <w:rPr>
                <w:rFonts w:cstheme="minorHAnsi"/>
                <w:b/>
                <w:bCs/>
                <w:sz w:val="22"/>
                <w:szCs w:val="22"/>
              </w:rPr>
              <w:t>Do you support Option 2 – introducing a targeted maritime</w:t>
            </w:r>
            <w:r w:rsidR="004C5183" w:rsidRPr="004C5183">
              <w:rPr>
                <w:rFonts w:cstheme="minorHAnsi"/>
                <w:b/>
                <w:bCs/>
                <w:sz w:val="22"/>
                <w:szCs w:val="22"/>
              </w:rPr>
              <w:noBreakHyphen/>
              <w:t>specific training requirement for crane operators who undertake lifting operations on or over water?</w:t>
            </w:r>
            <w:r w:rsidR="004C5183" w:rsidRPr="004C5183">
              <w:rPr>
                <w:rFonts w:cstheme="minorHAnsi"/>
                <w:b/>
                <w:bCs/>
                <w:sz w:val="22"/>
                <w:szCs w:val="22"/>
              </w:rPr>
              <w:br/>
            </w:r>
            <w:r w:rsidR="004C5183" w:rsidRPr="004C5183">
              <w:rPr>
                <w:rFonts w:cstheme="minorHAnsi"/>
                <w:sz w:val="22"/>
                <w:szCs w:val="22"/>
              </w:rPr>
              <w:t>Please explain your position and provide evidence where possible.</w:t>
            </w:r>
          </w:p>
          <w:p w14:paraId="1A5E73E3" w14:textId="7F3B038B" w:rsidR="00B179A5" w:rsidRPr="00B179A5" w:rsidRDefault="00B179A5" w:rsidP="002621AC">
            <w:pPr>
              <w:spacing w:before="60" w:after="120" w:line="259" w:lineRule="auto"/>
              <w:rPr>
                <w:rFonts w:cstheme="minorHAnsi"/>
                <w:sz w:val="22"/>
                <w:szCs w:val="22"/>
              </w:rPr>
            </w:pPr>
            <w:r w:rsidRPr="002621AC">
              <w:rPr>
                <w:sz w:val="22"/>
                <w:szCs w:val="22"/>
              </w:rPr>
              <w:t>5.</w:t>
            </w:r>
            <w:r>
              <w:rPr>
                <w:b/>
                <w:bCs/>
                <w:sz w:val="22"/>
                <w:szCs w:val="22"/>
              </w:rPr>
              <w:t xml:space="preserve"> </w:t>
            </w:r>
            <w:r w:rsidR="00601374" w:rsidRPr="00F36205">
              <w:rPr>
                <w:rFonts w:cstheme="minorHAnsi"/>
                <w:b/>
                <w:bCs/>
                <w:sz w:val="22"/>
                <w:szCs w:val="22"/>
              </w:rPr>
              <w:t xml:space="preserve">What impact would this targeted </w:t>
            </w:r>
            <w:r w:rsidR="00E5716A">
              <w:rPr>
                <w:rFonts w:cstheme="minorHAnsi"/>
                <w:b/>
                <w:bCs/>
                <w:sz w:val="22"/>
                <w:szCs w:val="22"/>
              </w:rPr>
              <w:t>training</w:t>
            </w:r>
            <w:r w:rsidR="00CC0A4E">
              <w:rPr>
                <w:rFonts w:cstheme="minorHAnsi"/>
                <w:b/>
                <w:bCs/>
                <w:sz w:val="22"/>
                <w:szCs w:val="22"/>
              </w:rPr>
              <w:t xml:space="preserve"> </w:t>
            </w:r>
            <w:r w:rsidR="00601374" w:rsidRPr="00F36205">
              <w:rPr>
                <w:rFonts w:cstheme="minorHAnsi"/>
                <w:b/>
                <w:bCs/>
                <w:sz w:val="22"/>
                <w:szCs w:val="22"/>
              </w:rPr>
              <w:t>approach have for you or your organisation?</w:t>
            </w:r>
            <w:r w:rsidR="00601374" w:rsidRPr="00F36205">
              <w:rPr>
                <w:rFonts w:cstheme="minorHAnsi"/>
                <w:b/>
                <w:bCs/>
                <w:sz w:val="22"/>
                <w:szCs w:val="22"/>
              </w:rPr>
              <w:br/>
            </w:r>
            <w:r w:rsidR="00601374" w:rsidRPr="00EC1CC6">
              <w:rPr>
                <w:rFonts w:cstheme="minorHAnsi"/>
                <w:sz w:val="22"/>
                <w:szCs w:val="22"/>
              </w:rPr>
              <w:t>Consider safety outcomes, WHS improvements, business costs, workforce implications, and any other significant effects</w:t>
            </w:r>
            <w:r w:rsidR="00601374">
              <w:rPr>
                <w:rFonts w:cstheme="minorHAnsi"/>
                <w:sz w:val="22"/>
                <w:szCs w:val="22"/>
              </w:rPr>
              <w:t>.</w:t>
            </w:r>
          </w:p>
          <w:p w14:paraId="34909E43" w14:textId="7906B286" w:rsidR="00B179A5" w:rsidRPr="00454324" w:rsidRDefault="00454324" w:rsidP="002621AC">
            <w:pPr>
              <w:spacing w:before="60" w:after="120" w:line="259" w:lineRule="auto"/>
              <w:rPr>
                <w:rFonts w:cstheme="minorHAnsi"/>
                <w:sz w:val="22"/>
                <w:szCs w:val="22"/>
              </w:rPr>
            </w:pPr>
            <w:r w:rsidRPr="002621AC">
              <w:rPr>
                <w:sz w:val="22"/>
                <w:szCs w:val="22"/>
              </w:rPr>
              <w:t>6.</w:t>
            </w:r>
            <w:r>
              <w:rPr>
                <w:b/>
                <w:bCs/>
                <w:sz w:val="22"/>
                <w:szCs w:val="22"/>
              </w:rPr>
              <w:t xml:space="preserve"> </w:t>
            </w:r>
            <w:r w:rsidR="00F839E2" w:rsidRPr="00F36205">
              <w:rPr>
                <w:rFonts w:cstheme="minorHAnsi"/>
                <w:b/>
                <w:bCs/>
                <w:sz w:val="22"/>
                <w:szCs w:val="22"/>
              </w:rPr>
              <w:t>Is the proposed scope appropriate — i.e. applying the requirement only to crane HRW</w:t>
            </w:r>
            <w:r w:rsidR="00CC0A4E">
              <w:rPr>
                <w:rFonts w:cstheme="minorHAnsi"/>
                <w:b/>
                <w:bCs/>
                <w:sz w:val="22"/>
                <w:szCs w:val="22"/>
              </w:rPr>
              <w:t xml:space="preserve"> licence</w:t>
            </w:r>
            <w:r w:rsidR="00F839E2" w:rsidRPr="00F36205">
              <w:rPr>
                <w:rFonts w:cstheme="minorHAnsi"/>
                <w:b/>
                <w:bCs/>
                <w:sz w:val="22"/>
                <w:szCs w:val="22"/>
              </w:rPr>
              <w:t xml:space="preserve"> holders who perform, or are reasonably expected to perform, lifting operations on or over water?</w:t>
            </w:r>
            <w:r w:rsidR="00F839E2" w:rsidRPr="00F36205">
              <w:rPr>
                <w:rFonts w:cstheme="minorHAnsi"/>
                <w:b/>
                <w:bCs/>
                <w:sz w:val="22"/>
                <w:szCs w:val="22"/>
              </w:rPr>
              <w:br/>
            </w:r>
            <w:r w:rsidR="00F839E2" w:rsidRPr="00EC1CC6">
              <w:rPr>
                <w:rFonts w:cstheme="minorHAnsi"/>
                <w:sz w:val="22"/>
                <w:szCs w:val="22"/>
              </w:rPr>
              <w:t>If not, how should the scope be adjusted?</w:t>
            </w:r>
          </w:p>
          <w:p w14:paraId="2B143F2A" w14:textId="37C40728" w:rsidR="00B179A5" w:rsidRPr="00454324" w:rsidRDefault="00454324" w:rsidP="002621AC">
            <w:pPr>
              <w:spacing w:before="60" w:after="120" w:line="259" w:lineRule="auto"/>
              <w:rPr>
                <w:rFonts w:cstheme="minorHAnsi"/>
                <w:sz w:val="22"/>
                <w:szCs w:val="22"/>
              </w:rPr>
            </w:pPr>
            <w:r w:rsidRPr="002621AC">
              <w:rPr>
                <w:sz w:val="22"/>
                <w:szCs w:val="22"/>
              </w:rPr>
              <w:t>7.</w:t>
            </w:r>
            <w:r>
              <w:rPr>
                <w:b/>
                <w:bCs/>
                <w:sz w:val="22"/>
                <w:szCs w:val="22"/>
              </w:rPr>
              <w:t xml:space="preserve"> </w:t>
            </w:r>
            <w:r w:rsidR="000A2735" w:rsidRPr="00F36205">
              <w:rPr>
                <w:rFonts w:cstheme="minorHAnsi"/>
                <w:b/>
                <w:bCs/>
                <w:sz w:val="22"/>
                <w:szCs w:val="22"/>
              </w:rPr>
              <w:t>Do you support using a permit</w:t>
            </w:r>
            <w:r w:rsidR="000A2735" w:rsidRPr="00F36205">
              <w:rPr>
                <w:rFonts w:cstheme="minorHAnsi"/>
                <w:b/>
                <w:bCs/>
                <w:sz w:val="22"/>
                <w:szCs w:val="22"/>
              </w:rPr>
              <w:noBreakHyphen/>
              <w:t>type authorisation (issued in addition to the crane HRW</w:t>
            </w:r>
            <w:r w:rsidR="00CC0A4E">
              <w:rPr>
                <w:rFonts w:cstheme="minorHAnsi"/>
                <w:b/>
                <w:bCs/>
                <w:sz w:val="22"/>
                <w:szCs w:val="22"/>
              </w:rPr>
              <w:t xml:space="preserve"> licenc</w:t>
            </w:r>
            <w:r w:rsidR="000D6B71">
              <w:rPr>
                <w:rFonts w:cstheme="minorHAnsi"/>
                <w:b/>
                <w:bCs/>
                <w:sz w:val="22"/>
                <w:szCs w:val="22"/>
              </w:rPr>
              <w:t>e</w:t>
            </w:r>
            <w:r w:rsidR="000A2735" w:rsidRPr="00F36205">
              <w:rPr>
                <w:rFonts w:cstheme="minorHAnsi"/>
                <w:b/>
                <w:bCs/>
                <w:sz w:val="22"/>
                <w:szCs w:val="22"/>
              </w:rPr>
              <w:t>) to confirm completion of maritime</w:t>
            </w:r>
            <w:r w:rsidR="000A2735" w:rsidRPr="00F36205">
              <w:rPr>
                <w:rFonts w:cstheme="minorHAnsi"/>
                <w:b/>
                <w:bCs/>
                <w:sz w:val="22"/>
                <w:szCs w:val="22"/>
              </w:rPr>
              <w:noBreakHyphen/>
              <w:t>specific training for operators performing lifting on or over water?</w:t>
            </w:r>
            <w:r w:rsidR="000A2735" w:rsidRPr="00F36205">
              <w:rPr>
                <w:rFonts w:cstheme="minorHAnsi"/>
                <w:b/>
                <w:bCs/>
                <w:sz w:val="22"/>
                <w:szCs w:val="22"/>
              </w:rPr>
              <w:br/>
            </w:r>
            <w:r w:rsidR="000A2735" w:rsidRPr="00A6749E">
              <w:rPr>
                <w:rFonts w:cstheme="minorHAnsi"/>
                <w:sz w:val="22"/>
                <w:szCs w:val="22"/>
              </w:rPr>
              <w:t>If not, what alternative mechanism should be considered?</w:t>
            </w:r>
          </w:p>
          <w:p w14:paraId="73F11D0E" w14:textId="77777777" w:rsidR="00454324" w:rsidRDefault="00B179A5" w:rsidP="002621AC">
            <w:pPr>
              <w:spacing w:before="120" w:after="120" w:line="259" w:lineRule="auto"/>
              <w:rPr>
                <w:rFonts w:cstheme="minorHAnsi"/>
                <w:sz w:val="22"/>
                <w:szCs w:val="22"/>
                <w:u w:val="single"/>
              </w:rPr>
            </w:pPr>
            <w:r w:rsidRPr="00FD6D5B">
              <w:rPr>
                <w:rFonts w:cstheme="minorHAnsi"/>
                <w:sz w:val="22"/>
                <w:szCs w:val="22"/>
                <w:u w:val="single"/>
              </w:rPr>
              <w:t xml:space="preserve">Training and </w:t>
            </w:r>
            <w:r>
              <w:rPr>
                <w:rFonts w:cstheme="minorHAnsi"/>
                <w:sz w:val="22"/>
                <w:szCs w:val="22"/>
                <w:u w:val="single"/>
              </w:rPr>
              <w:t>a</w:t>
            </w:r>
            <w:r w:rsidRPr="00FD6D5B">
              <w:rPr>
                <w:rFonts w:cstheme="minorHAnsi"/>
                <w:sz w:val="22"/>
                <w:szCs w:val="22"/>
                <w:u w:val="single"/>
              </w:rPr>
              <w:t>ssessment</w:t>
            </w:r>
          </w:p>
          <w:p w14:paraId="21FA3E93" w14:textId="6F148355" w:rsidR="006F6F66" w:rsidRPr="00454324" w:rsidRDefault="00454324" w:rsidP="002621AC">
            <w:pPr>
              <w:spacing w:before="120" w:after="120" w:line="259" w:lineRule="auto"/>
              <w:rPr>
                <w:rFonts w:cstheme="minorHAnsi"/>
                <w:sz w:val="22"/>
                <w:szCs w:val="22"/>
                <w:u w:val="single"/>
              </w:rPr>
            </w:pPr>
            <w:r w:rsidRPr="002621AC">
              <w:rPr>
                <w:rFonts w:cstheme="minorHAnsi"/>
                <w:sz w:val="22"/>
                <w:szCs w:val="22"/>
              </w:rPr>
              <w:t>8.</w:t>
            </w:r>
            <w:r>
              <w:rPr>
                <w:rFonts w:cstheme="minorHAnsi"/>
                <w:b/>
                <w:bCs/>
                <w:sz w:val="22"/>
                <w:szCs w:val="22"/>
              </w:rPr>
              <w:t xml:space="preserve"> </w:t>
            </w:r>
            <w:r w:rsidR="003B4FAD">
              <w:rPr>
                <w:rFonts w:cstheme="minorHAnsi"/>
                <w:b/>
                <w:bCs/>
                <w:sz w:val="22"/>
                <w:szCs w:val="22"/>
              </w:rPr>
              <w:t>Wh</w:t>
            </w:r>
            <w:r w:rsidR="003B4FAD" w:rsidRPr="00F36205">
              <w:rPr>
                <w:rFonts w:cstheme="minorHAnsi"/>
                <w:b/>
                <w:bCs/>
                <w:sz w:val="22"/>
                <w:szCs w:val="22"/>
              </w:rPr>
              <w:t>at considerations or challenges might arise in developing and maintaining a maritime</w:t>
            </w:r>
            <w:r w:rsidR="003B4FAD" w:rsidRPr="00F36205">
              <w:rPr>
                <w:rFonts w:cstheme="minorHAnsi"/>
                <w:b/>
                <w:bCs/>
                <w:sz w:val="22"/>
                <w:szCs w:val="22"/>
              </w:rPr>
              <w:noBreakHyphen/>
              <w:t xml:space="preserve">specific crane training course focused on the hazards associated with </w:t>
            </w:r>
            <w:r w:rsidR="00292F07">
              <w:rPr>
                <w:rFonts w:cstheme="minorHAnsi"/>
                <w:b/>
                <w:bCs/>
                <w:sz w:val="22"/>
                <w:szCs w:val="22"/>
              </w:rPr>
              <w:t>lift operations</w:t>
            </w:r>
            <w:r w:rsidR="00292F07" w:rsidRPr="00F36205">
              <w:rPr>
                <w:rFonts w:cstheme="minorHAnsi"/>
                <w:b/>
                <w:bCs/>
                <w:sz w:val="22"/>
                <w:szCs w:val="22"/>
              </w:rPr>
              <w:t xml:space="preserve"> </w:t>
            </w:r>
            <w:r w:rsidR="003B4FAD" w:rsidRPr="00F36205">
              <w:rPr>
                <w:rFonts w:cstheme="minorHAnsi"/>
                <w:b/>
                <w:bCs/>
                <w:sz w:val="22"/>
                <w:szCs w:val="22"/>
              </w:rPr>
              <w:t>on or over water?</w:t>
            </w:r>
            <w:r w:rsidR="003B4FAD" w:rsidRPr="00F36205">
              <w:rPr>
                <w:rFonts w:cstheme="minorHAnsi"/>
                <w:b/>
                <w:bCs/>
                <w:sz w:val="22"/>
                <w:szCs w:val="22"/>
              </w:rPr>
              <w:br/>
            </w:r>
            <w:r w:rsidR="003B4FAD" w:rsidRPr="00950B99">
              <w:rPr>
                <w:rFonts w:cstheme="minorHAnsi"/>
                <w:sz w:val="22"/>
                <w:szCs w:val="22"/>
              </w:rPr>
              <w:t xml:space="preserve">Are </w:t>
            </w:r>
            <w:proofErr w:type="gramStart"/>
            <w:r w:rsidR="003B4FAD" w:rsidRPr="00950B99">
              <w:rPr>
                <w:rFonts w:cstheme="minorHAnsi"/>
                <w:sz w:val="22"/>
                <w:szCs w:val="22"/>
              </w:rPr>
              <w:t>there</w:t>
            </w:r>
            <w:proofErr w:type="gramEnd"/>
            <w:r w:rsidR="003B4FAD" w:rsidRPr="00950B99">
              <w:rPr>
                <w:rFonts w:cstheme="minorHAnsi"/>
                <w:sz w:val="22"/>
                <w:szCs w:val="22"/>
              </w:rPr>
              <w:t xml:space="preserve"> specific considerations for Jobs and Skills Councils or training providers?</w:t>
            </w:r>
          </w:p>
        </w:tc>
      </w:tr>
      <w:tr w:rsidR="006930DB" w:rsidRPr="009C036E" w14:paraId="571D3117" w14:textId="77777777" w:rsidTr="00EF1CEA">
        <w:tc>
          <w:tcPr>
            <w:tcW w:w="9016" w:type="dxa"/>
            <w:shd w:val="clear" w:color="auto" w:fill="D5B8EA"/>
          </w:tcPr>
          <w:p w14:paraId="74D98055" w14:textId="06E92CA0" w:rsidR="006930DB" w:rsidRPr="009C036E" w:rsidRDefault="006930DB" w:rsidP="006930DB">
            <w:pPr>
              <w:spacing w:before="60" w:after="40" w:line="259" w:lineRule="auto"/>
              <w:rPr>
                <w:rFonts w:cstheme="minorHAnsi"/>
                <w:sz w:val="22"/>
                <w:szCs w:val="22"/>
                <w:u w:val="single"/>
              </w:rPr>
            </w:pPr>
            <w:r w:rsidRPr="009C036E">
              <w:rPr>
                <w:rFonts w:eastAsiaTheme="minorHAnsi" w:cstheme="minorHAnsi"/>
                <w:b/>
                <w:sz w:val="24"/>
                <w:szCs w:val="24"/>
                <w:u w:val="single"/>
              </w:rPr>
              <w:t xml:space="preserve">Option </w:t>
            </w:r>
            <w:r>
              <w:rPr>
                <w:rFonts w:eastAsiaTheme="minorHAnsi" w:cstheme="minorHAnsi"/>
                <w:b/>
                <w:sz w:val="24"/>
                <w:szCs w:val="24"/>
                <w:u w:val="single"/>
              </w:rPr>
              <w:t>3</w:t>
            </w:r>
            <w:r w:rsidRPr="009C036E">
              <w:rPr>
                <w:rFonts w:eastAsiaTheme="minorHAnsi" w:cstheme="minorHAnsi"/>
                <w:b/>
                <w:sz w:val="24"/>
                <w:szCs w:val="24"/>
              </w:rPr>
              <w:t xml:space="preserve">: </w:t>
            </w:r>
            <w:r>
              <w:rPr>
                <w:rFonts w:eastAsiaTheme="minorHAnsi" w:cstheme="minorHAnsi"/>
                <w:b/>
                <w:sz w:val="24"/>
                <w:szCs w:val="24"/>
              </w:rPr>
              <w:t>Introduce a HRW class for crane operation in maritime workplaces</w:t>
            </w:r>
            <w:r w:rsidRPr="00E02506">
              <w:rPr>
                <w:rFonts w:eastAsiaTheme="minorHAnsi" w:cstheme="minorHAnsi"/>
                <w:b/>
                <w:sz w:val="24"/>
                <w:szCs w:val="24"/>
              </w:rPr>
              <w:t>.</w:t>
            </w:r>
          </w:p>
        </w:tc>
      </w:tr>
      <w:tr w:rsidR="00CB2C66" w:rsidRPr="009C036E" w14:paraId="7569D23F" w14:textId="77777777" w:rsidTr="003F5EF8">
        <w:trPr>
          <w:trHeight w:val="70"/>
        </w:trPr>
        <w:tc>
          <w:tcPr>
            <w:tcW w:w="9016" w:type="dxa"/>
            <w:shd w:val="clear" w:color="auto" w:fill="EADBF5"/>
          </w:tcPr>
          <w:p w14:paraId="240957D5" w14:textId="77777777" w:rsidR="00454324" w:rsidRDefault="00454324" w:rsidP="002621AC">
            <w:pPr>
              <w:spacing w:before="120" w:after="120" w:line="264" w:lineRule="auto"/>
              <w:rPr>
                <w:rFonts w:ascii="Arial" w:hAnsi="Arial" w:cs="Arial"/>
                <w:sz w:val="22"/>
                <w:szCs w:val="22"/>
                <w:u w:val="single"/>
              </w:rPr>
            </w:pPr>
            <w:r w:rsidRPr="001A1271">
              <w:rPr>
                <w:rFonts w:ascii="Arial" w:hAnsi="Arial" w:cs="Arial"/>
                <w:sz w:val="22"/>
                <w:szCs w:val="22"/>
                <w:u w:val="single"/>
              </w:rPr>
              <w:t>Support and implementation</w:t>
            </w:r>
          </w:p>
          <w:p w14:paraId="4B110FE0" w14:textId="04EEA809" w:rsidR="00454324" w:rsidRPr="00454324" w:rsidRDefault="00454324" w:rsidP="002621AC">
            <w:pPr>
              <w:spacing w:before="120" w:after="120" w:line="264" w:lineRule="auto"/>
              <w:rPr>
                <w:rFonts w:ascii="Arial" w:hAnsi="Arial" w:cs="Arial"/>
                <w:sz w:val="22"/>
                <w:szCs w:val="22"/>
                <w:u w:val="single"/>
              </w:rPr>
            </w:pPr>
            <w:r w:rsidRPr="002621AC">
              <w:rPr>
                <w:rFonts w:ascii="Arial" w:hAnsi="Arial" w:cs="Arial"/>
                <w:sz w:val="22"/>
                <w:szCs w:val="22"/>
              </w:rPr>
              <w:t>9.</w:t>
            </w:r>
            <w:r>
              <w:rPr>
                <w:rFonts w:ascii="Arial" w:hAnsi="Arial" w:cs="Arial"/>
                <w:b/>
                <w:bCs/>
                <w:sz w:val="22"/>
                <w:szCs w:val="22"/>
              </w:rPr>
              <w:t xml:space="preserve"> </w:t>
            </w:r>
            <w:r w:rsidRPr="00454324">
              <w:rPr>
                <w:rFonts w:ascii="Arial" w:hAnsi="Arial" w:cs="Arial"/>
                <w:b/>
                <w:bCs/>
                <w:sz w:val="22"/>
                <w:szCs w:val="22"/>
              </w:rPr>
              <w:t>Do you support introducing a new HRW class for maritime crane operations?</w:t>
            </w:r>
          </w:p>
          <w:p w14:paraId="689AD4FF" w14:textId="77777777" w:rsidR="00454324" w:rsidRPr="00CE0232" w:rsidRDefault="00454324" w:rsidP="002621AC">
            <w:pPr>
              <w:spacing w:after="120"/>
              <w:ind w:firstLine="448"/>
              <w:rPr>
                <w:rFonts w:ascii="Arial" w:hAnsi="Arial" w:cs="Arial"/>
                <w:sz w:val="22"/>
                <w:szCs w:val="22"/>
              </w:rPr>
            </w:pPr>
            <w:r>
              <w:rPr>
                <w:rFonts w:ascii="Arial" w:hAnsi="Arial" w:cs="Arial"/>
                <w:sz w:val="22"/>
                <w:szCs w:val="22"/>
              </w:rPr>
              <w:lastRenderedPageBreak/>
              <w:t>Why or why not?</w:t>
            </w:r>
          </w:p>
          <w:p w14:paraId="374CEE47" w14:textId="77777777" w:rsidR="006B637C" w:rsidRDefault="00454324" w:rsidP="002621AC">
            <w:pPr>
              <w:spacing w:after="120"/>
              <w:rPr>
                <w:rFonts w:ascii="Arial" w:hAnsi="Arial" w:cs="Arial"/>
                <w:b/>
                <w:bCs/>
                <w:sz w:val="22"/>
                <w:szCs w:val="22"/>
              </w:rPr>
            </w:pPr>
            <w:r w:rsidRPr="002621AC">
              <w:rPr>
                <w:rFonts w:ascii="Arial" w:hAnsi="Arial" w:cs="Arial"/>
                <w:sz w:val="22"/>
                <w:szCs w:val="22"/>
              </w:rPr>
              <w:t>10.</w:t>
            </w:r>
            <w:r>
              <w:rPr>
                <w:rFonts w:ascii="Arial" w:hAnsi="Arial" w:cs="Arial"/>
                <w:b/>
                <w:bCs/>
                <w:sz w:val="22"/>
                <w:szCs w:val="22"/>
              </w:rPr>
              <w:t xml:space="preserve"> </w:t>
            </w:r>
            <w:r w:rsidRPr="00454324">
              <w:rPr>
                <w:rFonts w:ascii="Arial" w:hAnsi="Arial" w:cs="Arial"/>
                <w:b/>
                <w:bCs/>
                <w:sz w:val="22"/>
                <w:szCs w:val="22"/>
              </w:rPr>
              <w:t>If a new HRW class was introduced, should it apply t</w:t>
            </w:r>
            <w:r w:rsidR="006B637C">
              <w:rPr>
                <w:rFonts w:ascii="Arial" w:hAnsi="Arial" w:cs="Arial"/>
                <w:b/>
                <w:bCs/>
                <w:sz w:val="22"/>
                <w:szCs w:val="22"/>
              </w:rPr>
              <w:t>o:</w:t>
            </w:r>
          </w:p>
          <w:p w14:paraId="38D58818" w14:textId="02F63110" w:rsidR="00174E50" w:rsidRPr="003A14F8" w:rsidRDefault="006234AE" w:rsidP="00157800">
            <w:pPr>
              <w:pStyle w:val="ListParagraph"/>
              <w:numPr>
                <w:ilvl w:val="1"/>
                <w:numId w:val="31"/>
              </w:numPr>
              <w:spacing w:after="120"/>
              <w:ind w:left="731" w:hanging="425"/>
              <w:contextualSpacing w:val="0"/>
              <w:rPr>
                <w:rFonts w:ascii="Arial" w:hAnsi="Arial" w:cs="Arial"/>
                <w:sz w:val="22"/>
                <w:szCs w:val="22"/>
              </w:rPr>
            </w:pPr>
            <w:r>
              <w:rPr>
                <w:rFonts w:ascii="Arial" w:hAnsi="Arial" w:cs="Arial"/>
                <w:b/>
                <w:bCs/>
                <w:sz w:val="22"/>
                <w:szCs w:val="22"/>
              </w:rPr>
              <w:t>dynamic lifting workplaces</w:t>
            </w:r>
            <w:r w:rsidR="00444C76">
              <w:rPr>
                <w:rFonts w:ascii="Arial" w:hAnsi="Arial" w:cs="Arial"/>
                <w:b/>
                <w:bCs/>
                <w:sz w:val="22"/>
                <w:szCs w:val="22"/>
              </w:rPr>
              <w:t xml:space="preserve"> (location based)</w:t>
            </w:r>
            <w:r w:rsidR="00174E50">
              <w:rPr>
                <w:rFonts w:ascii="Arial" w:hAnsi="Arial" w:cs="Arial"/>
                <w:b/>
                <w:bCs/>
                <w:sz w:val="22"/>
                <w:szCs w:val="22"/>
              </w:rPr>
              <w:t xml:space="preserve"> or</w:t>
            </w:r>
          </w:p>
          <w:p w14:paraId="72D2E5B8" w14:textId="637EC93B" w:rsidR="00174E50" w:rsidRPr="00055028" w:rsidRDefault="00444C76" w:rsidP="00157800">
            <w:pPr>
              <w:pStyle w:val="ListParagraph"/>
              <w:numPr>
                <w:ilvl w:val="1"/>
                <w:numId w:val="31"/>
              </w:numPr>
              <w:ind w:left="731" w:hanging="425"/>
              <w:rPr>
                <w:rFonts w:ascii="Arial" w:hAnsi="Arial" w:cs="Arial"/>
                <w:sz w:val="22"/>
                <w:szCs w:val="22"/>
              </w:rPr>
            </w:pPr>
            <w:r>
              <w:rPr>
                <w:rFonts w:ascii="Arial" w:hAnsi="Arial" w:cs="Arial"/>
                <w:b/>
                <w:bCs/>
                <w:sz w:val="22"/>
                <w:szCs w:val="22"/>
              </w:rPr>
              <w:t>dynamic</w:t>
            </w:r>
            <w:r w:rsidR="007F7BD7">
              <w:rPr>
                <w:rFonts w:ascii="Arial" w:hAnsi="Arial" w:cs="Arial"/>
                <w:b/>
                <w:bCs/>
                <w:sz w:val="22"/>
                <w:szCs w:val="22"/>
              </w:rPr>
              <w:t xml:space="preserve"> crane operations (activity based)</w:t>
            </w:r>
            <w:r w:rsidR="00174E50">
              <w:rPr>
                <w:rFonts w:ascii="Arial" w:hAnsi="Arial" w:cs="Arial"/>
                <w:b/>
                <w:bCs/>
                <w:sz w:val="22"/>
                <w:szCs w:val="22"/>
              </w:rPr>
              <w:t>?</w:t>
            </w:r>
          </w:p>
          <w:p w14:paraId="31446037" w14:textId="77777777" w:rsidR="00454324" w:rsidRPr="00250843" w:rsidRDefault="00454324" w:rsidP="002621AC">
            <w:pPr>
              <w:spacing w:after="120"/>
              <w:ind w:left="306"/>
              <w:rPr>
                <w:rFonts w:ascii="Arial" w:hAnsi="Arial" w:cs="Arial"/>
                <w:sz w:val="22"/>
                <w:szCs w:val="22"/>
              </w:rPr>
            </w:pPr>
            <w:r w:rsidRPr="00250843">
              <w:rPr>
                <w:rFonts w:ascii="Arial" w:hAnsi="Arial" w:cs="Arial"/>
                <w:sz w:val="22"/>
                <w:szCs w:val="22"/>
              </w:rPr>
              <w:t>Please explain your position and provide evidence where possible.</w:t>
            </w:r>
          </w:p>
          <w:p w14:paraId="272BEC6F" w14:textId="43D4F6D2" w:rsidR="00454324" w:rsidRDefault="00736F3E" w:rsidP="002621AC">
            <w:pPr>
              <w:shd w:val="clear" w:color="auto" w:fill="EADBF5"/>
              <w:spacing w:after="120"/>
              <w:rPr>
                <w:rFonts w:ascii="Arial" w:hAnsi="Arial" w:cs="Arial"/>
                <w:sz w:val="22"/>
                <w:szCs w:val="22"/>
              </w:rPr>
            </w:pPr>
            <w:r w:rsidRPr="002621AC">
              <w:rPr>
                <w:rFonts w:ascii="Arial" w:hAnsi="Arial" w:cs="Arial"/>
                <w:sz w:val="22"/>
                <w:szCs w:val="22"/>
              </w:rPr>
              <w:t>11.</w:t>
            </w:r>
            <w:r>
              <w:rPr>
                <w:rFonts w:ascii="Arial" w:hAnsi="Arial" w:cs="Arial"/>
                <w:b/>
                <w:bCs/>
                <w:sz w:val="22"/>
                <w:szCs w:val="22"/>
              </w:rPr>
              <w:t xml:space="preserve"> </w:t>
            </w:r>
            <w:r w:rsidR="00454324" w:rsidRPr="00736F3E">
              <w:rPr>
                <w:rFonts w:ascii="Arial" w:hAnsi="Arial" w:cs="Arial"/>
                <w:b/>
                <w:bCs/>
                <w:sz w:val="22"/>
                <w:szCs w:val="22"/>
              </w:rPr>
              <w:t>What impact would each approach under this option have for you and your organisation?</w:t>
            </w:r>
            <w:r w:rsidR="00454324" w:rsidRPr="00736F3E">
              <w:rPr>
                <w:rFonts w:ascii="Arial" w:hAnsi="Arial" w:cs="Arial"/>
                <w:sz w:val="22"/>
                <w:szCs w:val="22"/>
              </w:rPr>
              <w:br/>
              <w:t>Consider safety outcomes, WHS improvements, business costs, and any other significant impacts, including the impact of potential dual licensing.</w:t>
            </w:r>
          </w:p>
          <w:p w14:paraId="42B0FA88" w14:textId="0148ADC3" w:rsidR="00CB5FF1" w:rsidRPr="00CB5FF1" w:rsidRDefault="00CB5FF1" w:rsidP="002621AC">
            <w:pPr>
              <w:shd w:val="clear" w:color="auto" w:fill="EADBF5"/>
              <w:spacing w:after="120"/>
              <w:rPr>
                <w:rFonts w:ascii="Arial" w:hAnsi="Arial" w:cs="Arial"/>
                <w:sz w:val="22"/>
                <w:szCs w:val="22"/>
              </w:rPr>
            </w:pPr>
            <w:r w:rsidRPr="00CB5FF1">
              <w:rPr>
                <w:rFonts w:ascii="Arial" w:hAnsi="Arial" w:cs="Arial"/>
                <w:sz w:val="22"/>
                <w:szCs w:val="22"/>
              </w:rPr>
              <w:t xml:space="preserve">12. </w:t>
            </w:r>
            <w:r w:rsidR="0072296D" w:rsidRPr="00C133EC">
              <w:rPr>
                <w:rFonts w:ascii="Arial" w:hAnsi="Arial" w:cs="Arial"/>
                <w:b/>
                <w:bCs/>
                <w:sz w:val="22"/>
                <w:szCs w:val="22"/>
              </w:rPr>
              <w:t>Would any further regulatory amendments be required to support the implementation of a new maritime</w:t>
            </w:r>
            <w:r w:rsidR="0072296D" w:rsidRPr="00C133EC">
              <w:rPr>
                <w:rFonts w:ascii="Arial" w:hAnsi="Arial" w:cs="Arial"/>
                <w:b/>
                <w:bCs/>
                <w:sz w:val="22"/>
                <w:szCs w:val="22"/>
              </w:rPr>
              <w:noBreakHyphen/>
              <w:t xml:space="preserve">specific HRW licence? </w:t>
            </w:r>
            <w:r w:rsidR="0072296D" w:rsidRPr="00C133EC">
              <w:rPr>
                <w:rFonts w:ascii="Arial" w:hAnsi="Arial" w:cs="Arial"/>
                <w:sz w:val="22"/>
                <w:szCs w:val="22"/>
              </w:rPr>
              <w:t>If so,</w:t>
            </w:r>
            <w:r w:rsidR="008B4710">
              <w:rPr>
                <w:rFonts w:ascii="Arial" w:hAnsi="Arial" w:cs="Arial"/>
                <w:sz w:val="22"/>
                <w:szCs w:val="22"/>
              </w:rPr>
              <w:t xml:space="preserve"> </w:t>
            </w:r>
            <w:r w:rsidR="0072296D" w:rsidRPr="00C133EC">
              <w:rPr>
                <w:rFonts w:ascii="Arial" w:hAnsi="Arial" w:cs="Arial"/>
                <w:sz w:val="22"/>
                <w:szCs w:val="22"/>
              </w:rPr>
              <w:t>what changes might be necessary and why?</w:t>
            </w:r>
          </w:p>
          <w:p w14:paraId="07681824" w14:textId="77777777" w:rsidR="008824D9" w:rsidRPr="001A1271" w:rsidRDefault="008824D9" w:rsidP="002621AC">
            <w:pPr>
              <w:spacing w:before="120" w:after="120" w:line="264" w:lineRule="auto"/>
              <w:rPr>
                <w:rFonts w:ascii="Arial" w:hAnsi="Arial" w:cs="Arial"/>
                <w:sz w:val="22"/>
                <w:szCs w:val="22"/>
                <w:u w:val="single"/>
              </w:rPr>
            </w:pPr>
            <w:r w:rsidRPr="001A1271">
              <w:rPr>
                <w:rFonts w:ascii="Arial" w:hAnsi="Arial" w:cs="Arial"/>
                <w:sz w:val="22"/>
                <w:szCs w:val="22"/>
                <w:u w:val="single"/>
              </w:rPr>
              <w:t>Training and assessment</w:t>
            </w:r>
          </w:p>
          <w:p w14:paraId="3F72DA4B" w14:textId="085C73A1" w:rsidR="008824D9" w:rsidRPr="008824D9" w:rsidRDefault="008824D9" w:rsidP="002621AC">
            <w:pPr>
              <w:shd w:val="clear" w:color="auto" w:fill="EADBF5"/>
              <w:spacing w:after="120"/>
              <w:rPr>
                <w:rFonts w:ascii="Arial" w:hAnsi="Arial" w:cs="Arial"/>
                <w:sz w:val="22"/>
                <w:szCs w:val="22"/>
                <w:u w:val="single"/>
              </w:rPr>
            </w:pPr>
            <w:r w:rsidRPr="002621AC">
              <w:rPr>
                <w:rFonts w:ascii="Arial" w:hAnsi="Arial" w:cs="Arial"/>
                <w:sz w:val="22"/>
                <w:szCs w:val="22"/>
              </w:rPr>
              <w:t>1</w:t>
            </w:r>
            <w:r w:rsidR="00BD40DB">
              <w:rPr>
                <w:rFonts w:ascii="Arial" w:hAnsi="Arial" w:cs="Arial"/>
                <w:sz w:val="22"/>
                <w:szCs w:val="22"/>
              </w:rPr>
              <w:t>3</w:t>
            </w:r>
            <w:r>
              <w:rPr>
                <w:rFonts w:ascii="Arial" w:hAnsi="Arial" w:cs="Arial"/>
                <w:b/>
                <w:bCs/>
                <w:sz w:val="22"/>
                <w:szCs w:val="22"/>
              </w:rPr>
              <w:t xml:space="preserve"> </w:t>
            </w:r>
            <w:r w:rsidRPr="008824D9">
              <w:rPr>
                <w:rFonts w:ascii="Arial" w:hAnsi="Arial" w:cs="Arial"/>
                <w:b/>
                <w:bCs/>
                <w:sz w:val="22"/>
                <w:szCs w:val="22"/>
              </w:rPr>
              <w:t>What additional competencies or training should be included in a maritime-specific HRW framework?</w:t>
            </w:r>
          </w:p>
          <w:p w14:paraId="342D5872" w14:textId="77777777" w:rsidR="008824D9" w:rsidRPr="0011430A" w:rsidRDefault="008824D9" w:rsidP="002621AC">
            <w:pPr>
              <w:shd w:val="clear" w:color="auto" w:fill="EADBF5"/>
              <w:spacing w:after="120"/>
              <w:rPr>
                <w:rFonts w:ascii="Arial" w:hAnsi="Arial" w:cs="Arial"/>
                <w:sz w:val="22"/>
                <w:szCs w:val="22"/>
              </w:rPr>
            </w:pPr>
            <w:r w:rsidRPr="0011430A">
              <w:rPr>
                <w:rFonts w:ascii="Arial" w:hAnsi="Arial" w:cs="Arial"/>
                <w:sz w:val="22"/>
                <w:szCs w:val="22"/>
              </w:rPr>
              <w:t>For example, could the Stevedoring Ship Mounted Crane Skill Set (TLISS00177)</w:t>
            </w:r>
            <w:r>
              <w:rPr>
                <w:rFonts w:ascii="Arial" w:hAnsi="Arial" w:cs="Arial"/>
                <w:sz w:val="22"/>
                <w:szCs w:val="22"/>
              </w:rPr>
              <w:t xml:space="preserve"> or Operate Offshore Cranes (PMASUP305) serve as useful foundations for the development of a training course?</w:t>
            </w:r>
          </w:p>
          <w:p w14:paraId="54CCF5F4" w14:textId="2FEA4FE1" w:rsidR="008824D9" w:rsidRPr="008824D9" w:rsidRDefault="008824D9" w:rsidP="002621AC">
            <w:pPr>
              <w:shd w:val="clear" w:color="auto" w:fill="EADBF5"/>
              <w:spacing w:after="120"/>
              <w:rPr>
                <w:rFonts w:ascii="Arial" w:hAnsi="Arial" w:cs="Arial"/>
                <w:sz w:val="22"/>
                <w:szCs w:val="22"/>
              </w:rPr>
            </w:pPr>
            <w:r w:rsidRPr="002621AC">
              <w:rPr>
                <w:rFonts w:ascii="Arial" w:hAnsi="Arial" w:cs="Arial"/>
                <w:sz w:val="22"/>
                <w:szCs w:val="22"/>
              </w:rPr>
              <w:t>1</w:t>
            </w:r>
            <w:r w:rsidR="00BD40DB">
              <w:rPr>
                <w:rFonts w:ascii="Arial" w:hAnsi="Arial" w:cs="Arial"/>
                <w:sz w:val="22"/>
                <w:szCs w:val="22"/>
              </w:rPr>
              <w:t>4</w:t>
            </w:r>
            <w:r>
              <w:rPr>
                <w:rFonts w:ascii="Arial" w:hAnsi="Arial" w:cs="Arial"/>
                <w:b/>
                <w:bCs/>
                <w:sz w:val="22"/>
                <w:szCs w:val="22"/>
              </w:rPr>
              <w:t xml:space="preserve"> </w:t>
            </w:r>
            <w:r w:rsidRPr="008824D9">
              <w:rPr>
                <w:rFonts w:ascii="Arial" w:hAnsi="Arial" w:cs="Arial"/>
                <w:b/>
                <w:bCs/>
                <w:sz w:val="22"/>
                <w:szCs w:val="22"/>
              </w:rPr>
              <w:t xml:space="preserve">Would access to diverse crane types and maritime locations be a barrier to effective training delivery? </w:t>
            </w:r>
            <w:r w:rsidRPr="008824D9">
              <w:rPr>
                <w:rFonts w:ascii="Arial" w:hAnsi="Arial" w:cs="Arial"/>
                <w:sz w:val="22"/>
                <w:szCs w:val="22"/>
              </w:rPr>
              <w:t>Or could simulators be used for training and assessment purposes?</w:t>
            </w:r>
          </w:p>
          <w:p w14:paraId="0024F8BD" w14:textId="127AC487" w:rsidR="008824D9" w:rsidRPr="008824D9" w:rsidRDefault="008824D9" w:rsidP="002621AC">
            <w:pPr>
              <w:shd w:val="clear" w:color="auto" w:fill="EADBF5"/>
              <w:spacing w:after="120"/>
              <w:rPr>
                <w:rFonts w:ascii="Arial" w:hAnsi="Arial" w:cs="Arial"/>
                <w:sz w:val="22"/>
                <w:szCs w:val="22"/>
                <w:u w:val="single"/>
              </w:rPr>
            </w:pPr>
            <w:r w:rsidRPr="002621AC">
              <w:rPr>
                <w:rFonts w:ascii="Arial" w:hAnsi="Arial" w:cs="Arial"/>
                <w:sz w:val="22"/>
                <w:szCs w:val="22"/>
              </w:rPr>
              <w:t>1</w:t>
            </w:r>
            <w:r w:rsidR="00BD40DB">
              <w:rPr>
                <w:rFonts w:ascii="Arial" w:hAnsi="Arial" w:cs="Arial"/>
                <w:sz w:val="22"/>
                <w:szCs w:val="22"/>
              </w:rPr>
              <w:t>5</w:t>
            </w:r>
            <w:r>
              <w:rPr>
                <w:rFonts w:ascii="Arial" w:hAnsi="Arial" w:cs="Arial"/>
                <w:b/>
                <w:bCs/>
                <w:sz w:val="22"/>
                <w:szCs w:val="22"/>
              </w:rPr>
              <w:t xml:space="preserve"> </w:t>
            </w:r>
            <w:r w:rsidRPr="008824D9">
              <w:rPr>
                <w:rFonts w:ascii="Arial" w:hAnsi="Arial" w:cs="Arial"/>
                <w:b/>
                <w:bCs/>
                <w:sz w:val="22"/>
                <w:szCs w:val="22"/>
              </w:rPr>
              <w:t>What considerations or challenges might arise in developing and maintaining training and assessment frameworks for this option?</w:t>
            </w:r>
            <w:r w:rsidRPr="008824D9">
              <w:rPr>
                <w:rFonts w:ascii="Arial" w:hAnsi="Arial" w:cs="Arial"/>
                <w:b/>
                <w:bCs/>
                <w:sz w:val="22"/>
                <w:szCs w:val="22"/>
              </w:rPr>
              <w:br/>
            </w:r>
            <w:r w:rsidRPr="008824D9">
              <w:rPr>
                <w:rFonts w:ascii="Arial" w:hAnsi="Arial" w:cs="Arial"/>
                <w:sz w:val="22"/>
                <w:szCs w:val="22"/>
              </w:rPr>
              <w:t xml:space="preserve">Are </w:t>
            </w:r>
            <w:proofErr w:type="gramStart"/>
            <w:r w:rsidRPr="008824D9">
              <w:rPr>
                <w:rFonts w:ascii="Arial" w:hAnsi="Arial" w:cs="Arial"/>
                <w:sz w:val="22"/>
                <w:szCs w:val="22"/>
              </w:rPr>
              <w:t>there</w:t>
            </w:r>
            <w:proofErr w:type="gramEnd"/>
            <w:r w:rsidRPr="008824D9">
              <w:rPr>
                <w:rFonts w:ascii="Arial" w:hAnsi="Arial" w:cs="Arial"/>
                <w:sz w:val="22"/>
                <w:szCs w:val="22"/>
              </w:rPr>
              <w:t xml:space="preserve"> specific considerations for Jobs and Skills Councils or training providers?</w:t>
            </w:r>
          </w:p>
          <w:p w14:paraId="3227E497" w14:textId="77777777" w:rsidR="00377E2C" w:rsidRDefault="008824D9" w:rsidP="002621AC">
            <w:pPr>
              <w:spacing w:before="120" w:after="120"/>
              <w:rPr>
                <w:rFonts w:ascii="Arial" w:hAnsi="Arial" w:cs="Arial"/>
                <w:sz w:val="22"/>
                <w:szCs w:val="22"/>
                <w:u w:val="single"/>
              </w:rPr>
            </w:pPr>
            <w:r w:rsidRPr="00751DFF">
              <w:rPr>
                <w:rFonts w:ascii="Arial" w:hAnsi="Arial" w:cs="Arial"/>
                <w:sz w:val="22"/>
                <w:szCs w:val="22"/>
                <w:u w:val="single"/>
              </w:rPr>
              <w:t>Definition</w:t>
            </w:r>
            <w:r>
              <w:rPr>
                <w:rFonts w:ascii="Arial" w:hAnsi="Arial" w:cs="Arial"/>
                <w:sz w:val="22"/>
                <w:szCs w:val="22"/>
                <w:u w:val="single"/>
              </w:rPr>
              <w:t>s</w:t>
            </w:r>
          </w:p>
          <w:p w14:paraId="7E414A4D" w14:textId="69EA477B" w:rsidR="008824D9" w:rsidRPr="00377E2C" w:rsidRDefault="00377E2C" w:rsidP="002621AC">
            <w:pPr>
              <w:spacing w:before="120" w:after="120"/>
              <w:rPr>
                <w:rFonts w:ascii="Arial" w:hAnsi="Arial" w:cs="Arial"/>
                <w:sz w:val="22"/>
                <w:szCs w:val="22"/>
                <w:u w:val="single"/>
              </w:rPr>
            </w:pPr>
            <w:r w:rsidRPr="002621AC">
              <w:rPr>
                <w:rFonts w:ascii="Arial" w:hAnsi="Arial" w:cs="Arial"/>
                <w:sz w:val="22"/>
                <w:szCs w:val="22"/>
              </w:rPr>
              <w:t>1</w:t>
            </w:r>
            <w:r w:rsidR="001B3EC4">
              <w:rPr>
                <w:rFonts w:ascii="Arial" w:hAnsi="Arial" w:cs="Arial"/>
                <w:sz w:val="22"/>
                <w:szCs w:val="22"/>
              </w:rPr>
              <w:t>6</w:t>
            </w:r>
            <w:r>
              <w:rPr>
                <w:rFonts w:ascii="Arial" w:hAnsi="Arial" w:cs="Arial"/>
                <w:b/>
                <w:bCs/>
                <w:sz w:val="22"/>
                <w:szCs w:val="22"/>
              </w:rPr>
              <w:t xml:space="preserve"> </w:t>
            </w:r>
            <w:r w:rsidR="008824D9" w:rsidRPr="00377E2C">
              <w:rPr>
                <w:rFonts w:ascii="Arial" w:hAnsi="Arial" w:cs="Arial"/>
                <w:b/>
                <w:bCs/>
                <w:sz w:val="22"/>
                <w:szCs w:val="22"/>
              </w:rPr>
              <w:t xml:space="preserve">Does the proposed definition of a </w:t>
            </w:r>
            <w:r w:rsidR="003411E9">
              <w:rPr>
                <w:rFonts w:ascii="Arial" w:hAnsi="Arial" w:cs="Arial"/>
                <w:b/>
                <w:bCs/>
                <w:sz w:val="22"/>
                <w:szCs w:val="22"/>
              </w:rPr>
              <w:t>dynamic lifting</w:t>
            </w:r>
            <w:r w:rsidR="008824D9" w:rsidRPr="00377E2C">
              <w:rPr>
                <w:rFonts w:ascii="Arial" w:hAnsi="Arial" w:cs="Arial"/>
                <w:b/>
                <w:bCs/>
                <w:sz w:val="22"/>
                <w:szCs w:val="22"/>
              </w:rPr>
              <w:t xml:space="preserve"> workplace accurately reflect operational environments where maritime cranes operate?</w:t>
            </w:r>
            <w:r w:rsidR="008824D9" w:rsidRPr="00377E2C">
              <w:rPr>
                <w:rFonts w:ascii="Arial" w:hAnsi="Arial" w:cs="Arial"/>
                <w:sz w:val="22"/>
                <w:szCs w:val="22"/>
              </w:rPr>
              <w:br/>
              <w:t>Are any aspects too broad or narrow? Does it support consistent application across jurisdictions?</w:t>
            </w:r>
          </w:p>
          <w:p w14:paraId="29CC6895" w14:textId="498A0F91" w:rsidR="008824D9" w:rsidRPr="00377E2C" w:rsidRDefault="00377E2C" w:rsidP="002621AC">
            <w:pPr>
              <w:spacing w:before="60" w:after="120" w:line="259" w:lineRule="auto"/>
              <w:rPr>
                <w:rFonts w:ascii="Arial" w:hAnsi="Arial" w:cs="Arial"/>
                <w:sz w:val="22"/>
                <w:szCs w:val="22"/>
              </w:rPr>
            </w:pPr>
            <w:r w:rsidRPr="002621AC">
              <w:rPr>
                <w:rFonts w:ascii="Arial" w:hAnsi="Arial" w:cs="Arial"/>
                <w:sz w:val="22"/>
                <w:szCs w:val="22"/>
              </w:rPr>
              <w:t>1</w:t>
            </w:r>
            <w:r w:rsidR="001B3EC4">
              <w:rPr>
                <w:rFonts w:ascii="Arial" w:hAnsi="Arial" w:cs="Arial"/>
                <w:sz w:val="22"/>
                <w:szCs w:val="22"/>
              </w:rPr>
              <w:t>7</w:t>
            </w:r>
            <w:r w:rsidRPr="002621AC">
              <w:rPr>
                <w:rFonts w:ascii="Arial" w:hAnsi="Arial" w:cs="Arial"/>
                <w:sz w:val="22"/>
                <w:szCs w:val="22"/>
              </w:rPr>
              <w:t>.</w:t>
            </w:r>
            <w:r>
              <w:rPr>
                <w:rFonts w:ascii="Arial" w:hAnsi="Arial" w:cs="Arial"/>
                <w:b/>
                <w:bCs/>
                <w:sz w:val="22"/>
                <w:szCs w:val="22"/>
              </w:rPr>
              <w:t xml:space="preserve"> </w:t>
            </w:r>
            <w:r w:rsidR="008824D9" w:rsidRPr="00377E2C">
              <w:rPr>
                <w:rFonts w:ascii="Arial" w:hAnsi="Arial" w:cs="Arial"/>
                <w:b/>
                <w:bCs/>
                <w:sz w:val="22"/>
                <w:szCs w:val="22"/>
              </w:rPr>
              <w:t>Does the focus on dynamic movement effectively distinguish maritime workplaces from non-maritime?</w:t>
            </w:r>
          </w:p>
          <w:p w14:paraId="21D4D24E" w14:textId="39BBE850" w:rsidR="008824D9" w:rsidRPr="00DE6CC2" w:rsidRDefault="008824D9" w:rsidP="002621AC">
            <w:pPr>
              <w:spacing w:after="120" w:line="259" w:lineRule="auto"/>
              <w:rPr>
                <w:rFonts w:ascii="Arial" w:hAnsi="Arial" w:cs="Arial"/>
                <w:b/>
                <w:bCs/>
                <w:color w:val="000000" w:themeColor="text1"/>
                <w:sz w:val="28"/>
                <w:szCs w:val="28"/>
              </w:rPr>
            </w:pPr>
            <w:r w:rsidRPr="00751DFF">
              <w:rPr>
                <w:rFonts w:ascii="Arial" w:hAnsi="Arial" w:cs="Arial"/>
                <w:sz w:val="22"/>
                <w:szCs w:val="22"/>
              </w:rPr>
              <w:t>What challenges might arise in applying this definition in mixed-use or transitional environments?</w:t>
            </w:r>
          </w:p>
          <w:p w14:paraId="7C94BA52" w14:textId="02C3E89A" w:rsidR="008824D9" w:rsidRPr="00377E2C" w:rsidRDefault="00377E2C" w:rsidP="002621AC">
            <w:pPr>
              <w:shd w:val="clear" w:color="auto" w:fill="EADBF5"/>
              <w:spacing w:after="120"/>
              <w:rPr>
                <w:rFonts w:ascii="Arial" w:hAnsi="Arial" w:cs="Arial"/>
                <w:sz w:val="22"/>
                <w:szCs w:val="22"/>
              </w:rPr>
            </w:pPr>
            <w:r w:rsidRPr="002621AC">
              <w:rPr>
                <w:rFonts w:ascii="Arial" w:hAnsi="Arial" w:cs="Arial"/>
                <w:sz w:val="22"/>
                <w:szCs w:val="22"/>
              </w:rPr>
              <w:t>1</w:t>
            </w:r>
            <w:r w:rsidR="001B3EC4">
              <w:rPr>
                <w:rFonts w:ascii="Arial" w:hAnsi="Arial" w:cs="Arial"/>
                <w:sz w:val="22"/>
                <w:szCs w:val="22"/>
              </w:rPr>
              <w:t>8</w:t>
            </w:r>
            <w:r w:rsidRPr="002621AC">
              <w:rPr>
                <w:rFonts w:ascii="Arial" w:hAnsi="Arial" w:cs="Arial"/>
                <w:sz w:val="22"/>
                <w:szCs w:val="22"/>
              </w:rPr>
              <w:t>.</w:t>
            </w:r>
            <w:r>
              <w:rPr>
                <w:rFonts w:ascii="Arial" w:hAnsi="Arial" w:cs="Arial"/>
                <w:b/>
                <w:bCs/>
                <w:sz w:val="22"/>
                <w:szCs w:val="22"/>
              </w:rPr>
              <w:t xml:space="preserve"> </w:t>
            </w:r>
            <w:r w:rsidR="008824D9" w:rsidRPr="00377E2C">
              <w:rPr>
                <w:rFonts w:ascii="Arial" w:hAnsi="Arial" w:cs="Arial"/>
                <w:b/>
                <w:bCs/>
                <w:sz w:val="22"/>
                <w:szCs w:val="22"/>
              </w:rPr>
              <w:t>Does the proposed definition of “dynamic crane operation” appropriately capture the scope of activities that should be regulated under this HRW class?</w:t>
            </w:r>
            <w:r w:rsidR="008824D9" w:rsidRPr="00377E2C">
              <w:rPr>
                <w:rFonts w:ascii="Arial" w:hAnsi="Arial" w:cs="Arial"/>
                <w:sz w:val="22"/>
                <w:szCs w:val="22"/>
              </w:rPr>
              <w:br/>
              <w:t>If not, what changes would you suggest?</w:t>
            </w:r>
          </w:p>
          <w:p w14:paraId="38E99E47" w14:textId="22A46B7A" w:rsidR="00CB2C66" w:rsidRPr="00D764D3" w:rsidRDefault="001A167D" w:rsidP="002621AC">
            <w:pPr>
              <w:spacing w:before="60" w:after="120" w:line="259" w:lineRule="auto"/>
              <w:rPr>
                <w:rFonts w:cstheme="minorHAnsi"/>
                <w:sz w:val="22"/>
                <w:szCs w:val="22"/>
              </w:rPr>
            </w:pPr>
            <w:r w:rsidRPr="002621AC">
              <w:rPr>
                <w:rFonts w:ascii="Arial" w:hAnsi="Arial" w:cs="Arial"/>
                <w:sz w:val="22"/>
                <w:szCs w:val="22"/>
              </w:rPr>
              <w:t>1</w:t>
            </w:r>
            <w:r w:rsidR="001B3EC4">
              <w:rPr>
                <w:rFonts w:ascii="Arial" w:hAnsi="Arial" w:cs="Arial"/>
                <w:sz w:val="22"/>
                <w:szCs w:val="22"/>
              </w:rPr>
              <w:t>9</w:t>
            </w:r>
            <w:r w:rsidRPr="002621AC">
              <w:rPr>
                <w:rFonts w:ascii="Arial" w:hAnsi="Arial" w:cs="Arial"/>
                <w:sz w:val="22"/>
                <w:szCs w:val="22"/>
              </w:rPr>
              <w:t>.</w:t>
            </w:r>
            <w:r>
              <w:rPr>
                <w:rFonts w:ascii="Arial" w:hAnsi="Arial" w:cs="Arial"/>
                <w:b/>
                <w:bCs/>
                <w:sz w:val="22"/>
                <w:szCs w:val="22"/>
              </w:rPr>
              <w:t xml:space="preserve"> </w:t>
            </w:r>
            <w:r w:rsidR="008824D9" w:rsidRPr="00751DFF">
              <w:rPr>
                <w:rFonts w:ascii="Arial" w:hAnsi="Arial" w:cs="Arial"/>
                <w:b/>
                <w:bCs/>
                <w:sz w:val="22"/>
                <w:szCs w:val="22"/>
              </w:rPr>
              <w:t>Does the definition effectively distinguish a dynamic crane operation from a crane operation that is not impacted by the risk of dynamic movement?</w:t>
            </w:r>
            <w:r w:rsidR="008824D9" w:rsidRPr="00751DFF">
              <w:rPr>
                <w:rFonts w:ascii="Arial" w:hAnsi="Arial" w:cs="Arial"/>
                <w:sz w:val="22"/>
                <w:szCs w:val="22"/>
              </w:rPr>
              <w:br/>
              <w:t>What challenges might arise in applying this definition in mixed-use or transitional environments?</w:t>
            </w:r>
          </w:p>
        </w:tc>
      </w:tr>
      <w:tr w:rsidR="001B3EC4" w:rsidRPr="009C036E" w14:paraId="4A77A917" w14:textId="77777777" w:rsidTr="00FD513C">
        <w:trPr>
          <w:trHeight w:val="70"/>
        </w:trPr>
        <w:tc>
          <w:tcPr>
            <w:tcW w:w="9016" w:type="dxa"/>
            <w:shd w:val="clear" w:color="auto" w:fill="D5B8EA"/>
          </w:tcPr>
          <w:p w14:paraId="32719541" w14:textId="681E5C96" w:rsidR="001B3EC4" w:rsidRPr="001A1271" w:rsidRDefault="001B3EC4" w:rsidP="001B3EC4">
            <w:pPr>
              <w:spacing w:before="60" w:after="60"/>
              <w:rPr>
                <w:rFonts w:ascii="Arial" w:hAnsi="Arial" w:cs="Arial"/>
                <w:sz w:val="22"/>
                <w:szCs w:val="22"/>
                <w:u w:val="single"/>
              </w:rPr>
            </w:pPr>
            <w:r w:rsidRPr="009C036E">
              <w:rPr>
                <w:rFonts w:eastAsiaTheme="minorHAnsi" w:cstheme="minorHAnsi"/>
                <w:b/>
                <w:sz w:val="24"/>
                <w:szCs w:val="24"/>
                <w:u w:val="single"/>
              </w:rPr>
              <w:lastRenderedPageBreak/>
              <w:t xml:space="preserve">Option </w:t>
            </w:r>
            <w:r>
              <w:rPr>
                <w:rFonts w:eastAsiaTheme="minorHAnsi" w:cstheme="minorHAnsi"/>
                <w:b/>
                <w:sz w:val="24"/>
                <w:szCs w:val="24"/>
                <w:u w:val="single"/>
              </w:rPr>
              <w:t>4</w:t>
            </w:r>
            <w:r w:rsidRPr="009C036E">
              <w:rPr>
                <w:rFonts w:eastAsiaTheme="minorHAnsi" w:cstheme="minorHAnsi"/>
                <w:b/>
                <w:sz w:val="24"/>
                <w:szCs w:val="24"/>
              </w:rPr>
              <w:t xml:space="preserve">: </w:t>
            </w:r>
            <w:r>
              <w:rPr>
                <w:rFonts w:eastAsiaTheme="minorHAnsi" w:cstheme="minorHAnsi"/>
                <w:b/>
                <w:sz w:val="24"/>
                <w:szCs w:val="24"/>
              </w:rPr>
              <w:t xml:space="preserve">Introduce a HRW class for </w:t>
            </w:r>
            <w:r w:rsidR="004042A7">
              <w:rPr>
                <w:rFonts w:eastAsiaTheme="minorHAnsi" w:cstheme="minorHAnsi"/>
                <w:b/>
                <w:sz w:val="24"/>
                <w:szCs w:val="24"/>
              </w:rPr>
              <w:t xml:space="preserve">Offshore and Subsea </w:t>
            </w:r>
            <w:r w:rsidR="00C27080">
              <w:rPr>
                <w:rFonts w:eastAsiaTheme="minorHAnsi" w:cstheme="minorHAnsi"/>
                <w:b/>
                <w:sz w:val="24"/>
                <w:szCs w:val="24"/>
              </w:rPr>
              <w:t>crane operations</w:t>
            </w:r>
            <w:r w:rsidRPr="00E02506">
              <w:rPr>
                <w:rFonts w:eastAsiaTheme="minorHAnsi" w:cstheme="minorHAnsi"/>
                <w:b/>
                <w:sz w:val="24"/>
                <w:szCs w:val="24"/>
              </w:rPr>
              <w:t>.</w:t>
            </w:r>
          </w:p>
        </w:tc>
      </w:tr>
      <w:tr w:rsidR="001B3EC4" w:rsidRPr="009C036E" w14:paraId="6D7E7AC4" w14:textId="77777777" w:rsidTr="003F5EF8">
        <w:trPr>
          <w:trHeight w:val="70"/>
        </w:trPr>
        <w:tc>
          <w:tcPr>
            <w:tcW w:w="9016" w:type="dxa"/>
            <w:shd w:val="clear" w:color="auto" w:fill="EADBF5"/>
          </w:tcPr>
          <w:p w14:paraId="0736484D" w14:textId="77777777" w:rsidR="00A04175" w:rsidRPr="001A1271" w:rsidRDefault="00A04175" w:rsidP="008A2D1D">
            <w:pPr>
              <w:spacing w:before="120" w:after="60" w:line="264" w:lineRule="auto"/>
              <w:rPr>
                <w:rFonts w:ascii="Arial" w:hAnsi="Arial" w:cs="Arial"/>
                <w:sz w:val="22"/>
                <w:szCs w:val="22"/>
                <w:u w:val="single"/>
              </w:rPr>
            </w:pPr>
            <w:r w:rsidRPr="001A1271">
              <w:rPr>
                <w:rFonts w:ascii="Arial" w:hAnsi="Arial" w:cs="Arial"/>
                <w:sz w:val="22"/>
                <w:szCs w:val="22"/>
                <w:u w:val="single"/>
              </w:rPr>
              <w:t>Support and implementation</w:t>
            </w:r>
          </w:p>
          <w:p w14:paraId="1B4D5192" w14:textId="6FE0CFC8" w:rsidR="00515688" w:rsidRPr="00C70A13" w:rsidRDefault="008A2D1D" w:rsidP="00347BD5">
            <w:pPr>
              <w:shd w:val="clear" w:color="auto" w:fill="EADBF5"/>
              <w:spacing w:after="120"/>
              <w:rPr>
                <w:rFonts w:cstheme="minorHAnsi"/>
                <w:color w:val="000000" w:themeColor="text1"/>
                <w:sz w:val="22"/>
                <w:szCs w:val="22"/>
              </w:rPr>
            </w:pPr>
            <w:r w:rsidRPr="00C70A13">
              <w:rPr>
                <w:rFonts w:cstheme="minorHAnsi"/>
                <w:color w:val="000000" w:themeColor="text1"/>
                <w:sz w:val="22"/>
                <w:szCs w:val="22"/>
              </w:rPr>
              <w:lastRenderedPageBreak/>
              <w:t xml:space="preserve">20. </w:t>
            </w:r>
            <w:r w:rsidR="00760E96">
              <w:rPr>
                <w:rFonts w:cstheme="minorHAnsi"/>
                <w:b/>
                <w:bCs/>
                <w:color w:val="000000" w:themeColor="text1"/>
                <w:sz w:val="22"/>
                <w:szCs w:val="22"/>
              </w:rPr>
              <w:t>Do o</w:t>
            </w:r>
            <w:r w:rsidR="00760E96" w:rsidRPr="00C70A13">
              <w:rPr>
                <w:rFonts w:cstheme="minorHAnsi"/>
                <w:b/>
                <w:bCs/>
                <w:color w:val="000000" w:themeColor="text1"/>
                <w:sz w:val="22"/>
                <w:szCs w:val="22"/>
              </w:rPr>
              <w:t xml:space="preserve">ffshore </w:t>
            </w:r>
            <w:r w:rsidR="00515688" w:rsidRPr="00C70A13">
              <w:rPr>
                <w:rFonts w:cstheme="minorHAnsi"/>
                <w:b/>
                <w:bCs/>
                <w:color w:val="000000" w:themeColor="text1"/>
                <w:sz w:val="22"/>
                <w:szCs w:val="22"/>
              </w:rPr>
              <w:t xml:space="preserve">and subsea crane operations involve </w:t>
            </w:r>
            <w:r w:rsidR="00760E96">
              <w:rPr>
                <w:rFonts w:cstheme="minorHAnsi"/>
                <w:b/>
                <w:bCs/>
                <w:color w:val="000000" w:themeColor="text1"/>
                <w:sz w:val="22"/>
                <w:szCs w:val="22"/>
              </w:rPr>
              <w:t>significantly</w:t>
            </w:r>
            <w:r w:rsidR="00DC70DA">
              <w:rPr>
                <w:rFonts w:cstheme="minorHAnsi"/>
                <w:b/>
                <w:bCs/>
                <w:color w:val="000000" w:themeColor="text1"/>
                <w:sz w:val="22"/>
                <w:szCs w:val="22"/>
              </w:rPr>
              <w:t xml:space="preserve"> </w:t>
            </w:r>
            <w:r w:rsidR="00515688" w:rsidRPr="00C70A13">
              <w:rPr>
                <w:rFonts w:cstheme="minorHAnsi"/>
                <w:b/>
                <w:bCs/>
                <w:color w:val="000000" w:themeColor="text1"/>
                <w:sz w:val="22"/>
                <w:szCs w:val="22"/>
              </w:rPr>
              <w:t>higher</w:t>
            </w:r>
            <w:r w:rsidR="00515688" w:rsidRPr="00C70A13">
              <w:rPr>
                <w:rFonts w:cstheme="minorHAnsi"/>
                <w:b/>
                <w:bCs/>
                <w:color w:val="000000" w:themeColor="text1"/>
                <w:sz w:val="22"/>
                <w:szCs w:val="22"/>
              </w:rPr>
              <w:noBreakHyphen/>
              <w:t>risk conditions than inshore dynamic lifting</w:t>
            </w:r>
            <w:r w:rsidR="00DC70DA">
              <w:rPr>
                <w:rFonts w:cstheme="minorHAnsi"/>
                <w:b/>
                <w:bCs/>
                <w:color w:val="000000" w:themeColor="text1"/>
                <w:sz w:val="22"/>
                <w:szCs w:val="22"/>
              </w:rPr>
              <w:t>?</w:t>
            </w:r>
            <w:r w:rsidR="00515688" w:rsidRPr="00C70A13">
              <w:rPr>
                <w:rFonts w:cstheme="minorHAnsi"/>
                <w:b/>
                <w:bCs/>
                <w:color w:val="000000" w:themeColor="text1"/>
                <w:sz w:val="22"/>
                <w:szCs w:val="22"/>
              </w:rPr>
              <w:t xml:space="preserve"> </w:t>
            </w:r>
            <w:r w:rsidR="00515688" w:rsidRPr="00C70A13">
              <w:rPr>
                <w:rFonts w:cstheme="minorHAnsi"/>
                <w:color w:val="000000" w:themeColor="text1"/>
                <w:sz w:val="22"/>
                <w:szCs w:val="22"/>
              </w:rPr>
              <w:t>What additional risks does your organisation observe in these environments?</w:t>
            </w:r>
          </w:p>
          <w:p w14:paraId="003F050A" w14:textId="5009F0D6" w:rsidR="00515688" w:rsidRPr="00C70A13" w:rsidRDefault="00C70A13" w:rsidP="00347BD5">
            <w:pPr>
              <w:shd w:val="clear" w:color="auto" w:fill="EADBF5"/>
              <w:spacing w:after="120"/>
              <w:rPr>
                <w:rFonts w:cstheme="minorHAnsi"/>
                <w:b/>
                <w:bCs/>
                <w:color w:val="000000" w:themeColor="text1"/>
                <w:sz w:val="22"/>
                <w:szCs w:val="22"/>
              </w:rPr>
            </w:pPr>
            <w:r w:rsidRPr="00C70A13">
              <w:rPr>
                <w:rFonts w:cstheme="minorHAnsi"/>
                <w:color w:val="000000" w:themeColor="text1"/>
                <w:sz w:val="22"/>
                <w:szCs w:val="22"/>
              </w:rPr>
              <w:t>21.</w:t>
            </w:r>
            <w:r>
              <w:rPr>
                <w:rFonts w:cstheme="minorHAnsi"/>
                <w:b/>
                <w:bCs/>
                <w:color w:val="000000" w:themeColor="text1"/>
                <w:sz w:val="22"/>
                <w:szCs w:val="22"/>
              </w:rPr>
              <w:t xml:space="preserve"> </w:t>
            </w:r>
            <w:r w:rsidR="00515688" w:rsidRPr="00C70A13">
              <w:rPr>
                <w:rFonts w:cstheme="minorHAnsi"/>
                <w:b/>
                <w:bCs/>
                <w:color w:val="000000" w:themeColor="text1"/>
                <w:sz w:val="22"/>
                <w:szCs w:val="22"/>
              </w:rPr>
              <w:t xml:space="preserve">Should operators who undertake offshore or subsea lifting be required to obtain additional training or competency beyond that proposed for dynamic lifting operations? </w:t>
            </w:r>
            <w:r w:rsidR="00515688" w:rsidRPr="00C70A13">
              <w:rPr>
                <w:rFonts w:cstheme="minorHAnsi"/>
                <w:color w:val="000000" w:themeColor="text1"/>
                <w:sz w:val="22"/>
                <w:szCs w:val="22"/>
              </w:rPr>
              <w:t>Why or why not?</w:t>
            </w:r>
          </w:p>
          <w:p w14:paraId="0CB1108D" w14:textId="73174C3E" w:rsidR="00515688" w:rsidRPr="00C70A13" w:rsidRDefault="00C70A13" w:rsidP="00347BD5">
            <w:pPr>
              <w:shd w:val="clear" w:color="auto" w:fill="EADBF5"/>
              <w:spacing w:after="120"/>
              <w:rPr>
                <w:rFonts w:cstheme="minorHAnsi"/>
                <w:b/>
                <w:bCs/>
                <w:color w:val="000000" w:themeColor="text1"/>
                <w:sz w:val="22"/>
                <w:szCs w:val="22"/>
              </w:rPr>
            </w:pPr>
            <w:r w:rsidRPr="00347BD5">
              <w:rPr>
                <w:rFonts w:cstheme="minorHAnsi"/>
                <w:color w:val="000000" w:themeColor="text1"/>
                <w:sz w:val="22"/>
                <w:szCs w:val="22"/>
              </w:rPr>
              <w:t>22.</w:t>
            </w:r>
            <w:r>
              <w:rPr>
                <w:rFonts w:cstheme="minorHAnsi"/>
                <w:b/>
                <w:bCs/>
                <w:color w:val="000000" w:themeColor="text1"/>
                <w:sz w:val="22"/>
                <w:szCs w:val="22"/>
              </w:rPr>
              <w:t xml:space="preserve"> </w:t>
            </w:r>
            <w:r w:rsidR="00515688" w:rsidRPr="00C70A13">
              <w:rPr>
                <w:rFonts w:cstheme="minorHAnsi"/>
                <w:b/>
                <w:bCs/>
                <w:color w:val="000000" w:themeColor="text1"/>
                <w:sz w:val="22"/>
                <w:szCs w:val="22"/>
              </w:rPr>
              <w:t>If additional competency is needed, what types of skills, knowledge, or experience do you consider important for safe offshore or subsea lifting?</w:t>
            </w:r>
          </w:p>
          <w:p w14:paraId="7FD4A260" w14:textId="274A2E6E" w:rsidR="00515688" w:rsidRPr="00347BD5" w:rsidRDefault="00347BD5" w:rsidP="00347BD5">
            <w:pPr>
              <w:shd w:val="clear" w:color="auto" w:fill="EADBF5"/>
              <w:spacing w:after="120"/>
              <w:rPr>
                <w:rFonts w:cstheme="minorHAnsi"/>
                <w:b/>
                <w:bCs/>
                <w:color w:val="000000" w:themeColor="text1"/>
                <w:sz w:val="22"/>
                <w:szCs w:val="22"/>
              </w:rPr>
            </w:pPr>
            <w:r>
              <w:rPr>
                <w:rFonts w:cstheme="minorHAnsi"/>
                <w:color w:val="000000" w:themeColor="text1"/>
                <w:sz w:val="22"/>
                <w:szCs w:val="22"/>
              </w:rPr>
              <w:t xml:space="preserve">23. </w:t>
            </w:r>
            <w:r w:rsidR="00515688" w:rsidRPr="00347BD5">
              <w:rPr>
                <w:rFonts w:cstheme="minorHAnsi"/>
                <w:b/>
                <w:bCs/>
                <w:color w:val="000000" w:themeColor="text1"/>
                <w:sz w:val="22"/>
                <w:szCs w:val="22"/>
              </w:rPr>
              <w:t>How should any additional training or competency requirements for offshore or subsea lifting interact with existing offshore safety regimes, such as safety case systems or industry training standards?</w:t>
            </w:r>
          </w:p>
          <w:p w14:paraId="14110F23" w14:textId="0C4B7AEC" w:rsidR="001B3EC4" w:rsidRPr="001A1271" w:rsidRDefault="00347BD5" w:rsidP="00347BD5">
            <w:pPr>
              <w:shd w:val="clear" w:color="auto" w:fill="EADBF5"/>
              <w:spacing w:after="120"/>
              <w:rPr>
                <w:rFonts w:ascii="Arial" w:hAnsi="Arial" w:cs="Arial"/>
                <w:sz w:val="22"/>
                <w:szCs w:val="22"/>
                <w:u w:val="single"/>
              </w:rPr>
            </w:pPr>
            <w:r w:rsidRPr="00347BD5">
              <w:rPr>
                <w:rFonts w:cstheme="minorHAnsi"/>
                <w:color w:val="000000" w:themeColor="text1"/>
                <w:sz w:val="22"/>
                <w:szCs w:val="22"/>
              </w:rPr>
              <w:t>24.</w:t>
            </w:r>
            <w:r>
              <w:rPr>
                <w:rFonts w:cstheme="minorHAnsi"/>
                <w:b/>
                <w:bCs/>
                <w:color w:val="000000" w:themeColor="text1"/>
                <w:sz w:val="22"/>
                <w:szCs w:val="22"/>
              </w:rPr>
              <w:t xml:space="preserve"> </w:t>
            </w:r>
            <w:r w:rsidR="002D1EB1" w:rsidRPr="009C0693">
              <w:rPr>
                <w:b/>
                <w:bCs/>
                <w:sz w:val="22"/>
                <w:szCs w:val="22"/>
              </w:rPr>
              <w:t>What impact would this option have for you and your organisation?</w:t>
            </w:r>
            <w:r w:rsidR="002D1EB1" w:rsidRPr="00CD0366">
              <w:rPr>
                <w:sz w:val="22"/>
                <w:szCs w:val="22"/>
              </w:rPr>
              <w:br/>
              <w:t xml:space="preserve">Consider improvements </w:t>
            </w:r>
            <w:r w:rsidR="002D1EB1">
              <w:rPr>
                <w:sz w:val="22"/>
                <w:szCs w:val="22"/>
              </w:rPr>
              <w:t xml:space="preserve">in </w:t>
            </w:r>
            <w:r w:rsidR="002D1EB1" w:rsidRPr="00CD0366">
              <w:rPr>
                <w:sz w:val="22"/>
                <w:szCs w:val="22"/>
              </w:rPr>
              <w:t>WHS</w:t>
            </w:r>
            <w:r w:rsidR="002D1EB1">
              <w:rPr>
                <w:sz w:val="22"/>
                <w:szCs w:val="22"/>
              </w:rPr>
              <w:t xml:space="preserve"> outcomes</w:t>
            </w:r>
            <w:r w:rsidR="002D1EB1" w:rsidRPr="00CD0366">
              <w:rPr>
                <w:sz w:val="22"/>
                <w:szCs w:val="22"/>
              </w:rPr>
              <w:t xml:space="preserve">, business costs, and any </w:t>
            </w:r>
            <w:r w:rsidR="002D1EB1">
              <w:rPr>
                <w:sz w:val="22"/>
                <w:szCs w:val="22"/>
              </w:rPr>
              <w:t>other significant impacts.</w:t>
            </w:r>
          </w:p>
        </w:tc>
      </w:tr>
      <w:tr w:rsidR="006930DB" w:rsidRPr="009C036E" w14:paraId="32196001" w14:textId="77777777" w:rsidTr="006930DB">
        <w:trPr>
          <w:trHeight w:val="70"/>
        </w:trPr>
        <w:tc>
          <w:tcPr>
            <w:tcW w:w="9016" w:type="dxa"/>
            <w:shd w:val="clear" w:color="auto" w:fill="D5B8EA"/>
            <w:vAlign w:val="center"/>
          </w:tcPr>
          <w:p w14:paraId="37E6F387" w14:textId="074BABBF" w:rsidR="006930DB" w:rsidRPr="006930DB" w:rsidRDefault="006930DB" w:rsidP="002621AC">
            <w:pPr>
              <w:spacing w:before="60" w:after="120" w:line="259" w:lineRule="auto"/>
              <w:rPr>
                <w:rFonts w:eastAsiaTheme="minorHAnsi" w:cstheme="minorHAnsi"/>
                <w:b/>
                <w:sz w:val="24"/>
                <w:szCs w:val="24"/>
              </w:rPr>
            </w:pPr>
            <w:bookmarkStart w:id="73" w:name="_Toc211922723"/>
            <w:r w:rsidRPr="00BA7151">
              <w:rPr>
                <w:rFonts w:eastAsiaTheme="minorHAnsi" w:cstheme="minorHAnsi"/>
                <w:b/>
                <w:sz w:val="24"/>
                <w:szCs w:val="24"/>
              </w:rPr>
              <w:lastRenderedPageBreak/>
              <w:t>Potential combination of reform options</w:t>
            </w:r>
            <w:bookmarkEnd w:id="73"/>
          </w:p>
        </w:tc>
      </w:tr>
      <w:tr w:rsidR="002621AC" w:rsidRPr="009C036E" w14:paraId="291FD22B" w14:textId="77777777" w:rsidTr="003F5EF8">
        <w:trPr>
          <w:trHeight w:val="70"/>
        </w:trPr>
        <w:tc>
          <w:tcPr>
            <w:tcW w:w="9016" w:type="dxa"/>
            <w:shd w:val="clear" w:color="auto" w:fill="EADBF5"/>
          </w:tcPr>
          <w:p w14:paraId="0D524B4F" w14:textId="05FA5B91" w:rsidR="002621AC" w:rsidRPr="002621AC" w:rsidRDefault="00B976E7" w:rsidP="002621AC">
            <w:pPr>
              <w:spacing w:before="60" w:after="120" w:line="259" w:lineRule="auto"/>
              <w:rPr>
                <w:sz w:val="22"/>
                <w:szCs w:val="22"/>
              </w:rPr>
            </w:pPr>
            <w:r>
              <w:rPr>
                <w:sz w:val="22"/>
                <w:szCs w:val="22"/>
              </w:rPr>
              <w:t>25</w:t>
            </w:r>
            <w:r w:rsidR="002621AC" w:rsidRPr="002621AC">
              <w:rPr>
                <w:sz w:val="22"/>
                <w:szCs w:val="22"/>
              </w:rPr>
              <w:t>.</w:t>
            </w:r>
            <w:r w:rsidR="002621AC">
              <w:rPr>
                <w:b/>
                <w:bCs/>
                <w:sz w:val="22"/>
                <w:szCs w:val="22"/>
              </w:rPr>
              <w:t xml:space="preserve"> </w:t>
            </w:r>
            <w:r w:rsidR="002621AC" w:rsidRPr="002621AC">
              <w:rPr>
                <w:b/>
                <w:bCs/>
                <w:sz w:val="22"/>
                <w:szCs w:val="22"/>
              </w:rPr>
              <w:t xml:space="preserve">Would you support a combination of options? </w:t>
            </w:r>
            <w:r w:rsidR="002621AC" w:rsidRPr="008F61F3">
              <w:rPr>
                <w:sz w:val="22"/>
                <w:szCs w:val="22"/>
              </w:rPr>
              <w:t>If so, which options, or elements of the options, would you combine and why?</w:t>
            </w:r>
          </w:p>
        </w:tc>
      </w:tr>
    </w:tbl>
    <w:p w14:paraId="4AF2970B" w14:textId="77777777" w:rsidR="00B22EAB" w:rsidRPr="009C036E" w:rsidRDefault="00B22EAB" w:rsidP="00AE6963">
      <w:pPr>
        <w:pStyle w:val="Paragraph0"/>
        <w:rPr>
          <w:sz w:val="22"/>
          <w:szCs w:val="22"/>
        </w:rPr>
      </w:pPr>
    </w:p>
    <w:sectPr w:rsidR="00B22EAB" w:rsidRPr="009C036E" w:rsidSect="00AE6963">
      <w:headerReference w:type="even" r:id="rId35"/>
      <w:headerReference w:type="default" r:id="rId36"/>
      <w:footerReference w:type="default" r:id="rId37"/>
      <w:headerReference w:type="first" r:id="rId38"/>
      <w:pgSz w:w="11906" w:h="16838"/>
      <w:pgMar w:top="1701" w:right="1418" w:bottom="1701" w:left="1418" w:header="56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8196" w14:textId="77777777" w:rsidR="00A376D7" w:rsidRDefault="00A376D7" w:rsidP="00200539">
      <w:pPr>
        <w:spacing w:after="0"/>
      </w:pPr>
      <w:r>
        <w:separator/>
      </w:r>
    </w:p>
  </w:endnote>
  <w:endnote w:type="continuationSeparator" w:id="0">
    <w:p w14:paraId="50207250" w14:textId="77777777" w:rsidR="00A376D7" w:rsidRDefault="00A376D7" w:rsidP="00200539">
      <w:pPr>
        <w:spacing w:after="0"/>
      </w:pPr>
      <w:r>
        <w:continuationSeparator/>
      </w:r>
    </w:p>
  </w:endnote>
  <w:endnote w:type="continuationNotice" w:id="1">
    <w:p w14:paraId="0E018D94" w14:textId="77777777" w:rsidR="00A376D7" w:rsidRDefault="00A376D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019113"/>
      <w:docPartObj>
        <w:docPartGallery w:val="Page Numbers (Bottom of Page)"/>
        <w:docPartUnique/>
      </w:docPartObj>
    </w:sdtPr>
    <w:sdtEndPr>
      <w:rPr>
        <w:noProof/>
      </w:rPr>
    </w:sdtEndPr>
    <w:sdtContent>
      <w:p w14:paraId="16A27B97" w14:textId="77777777" w:rsidR="00200539" w:rsidRDefault="00200539" w:rsidP="00DE1E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8D59" w14:textId="078A3583" w:rsidR="00200539" w:rsidRPr="00BA6F20" w:rsidRDefault="00BA6F20" w:rsidP="00DE1E96">
    <w:pPr>
      <w:pStyle w:val="Footer"/>
      <w:rPr>
        <w:sz w:val="18"/>
        <w:szCs w:val="18"/>
      </w:rPr>
    </w:pPr>
    <w:r>
      <w:rPr>
        <w:noProof/>
      </w:rPr>
      <w:drawing>
        <wp:anchor distT="0" distB="0" distL="114300" distR="114300" simplePos="0" relativeHeight="251666432" behindDoc="1" locked="0" layoutInCell="1" allowOverlap="1" wp14:anchorId="2298C7DA" wp14:editId="0106193E">
          <wp:simplePos x="0" y="0"/>
          <wp:positionH relativeFrom="column">
            <wp:posOffset>3243266</wp:posOffset>
          </wp:positionH>
          <wp:positionV relativeFrom="paragraph">
            <wp:posOffset>-3877574</wp:posOffset>
          </wp:positionV>
          <wp:extent cx="5759450" cy="5759450"/>
          <wp:effectExtent l="0" t="0" r="0" b="0"/>
          <wp:wrapNone/>
          <wp:docPr id="1857835288"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54674" name="Graphic 16204546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759450" cy="5759450"/>
                  </a:xfrm>
                  <a:prstGeom prst="rect">
                    <a:avLst/>
                  </a:prstGeom>
                </pic:spPr>
              </pic:pic>
            </a:graphicData>
          </a:graphic>
          <wp14:sizeRelH relativeFrom="page">
            <wp14:pctWidth>0</wp14:pctWidth>
          </wp14:sizeRelH>
          <wp14:sizeRelV relativeFrom="page">
            <wp14:pctHeight>0</wp14:pctHeight>
          </wp14:sizeRelV>
        </wp:anchor>
      </w:drawing>
    </w:r>
    <w:r w:rsidR="00F02AFB">
      <w:rPr>
        <w:b/>
        <w:bCs/>
        <w:sz w:val="18"/>
        <w:szCs w:val="18"/>
      </w:rPr>
      <w:t>c</w:t>
    </w:r>
    <w:r w:rsidR="009E5167" w:rsidRPr="009E5167">
      <w:rPr>
        <w:b/>
        <w:bCs/>
        <w:sz w:val="18"/>
        <w:szCs w:val="18"/>
      </w:rPr>
      <w:t>onsult.swa.gov.au</w:t>
    </w:r>
    <w:r w:rsidR="009E5167" w:rsidRPr="009E5167">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450307"/>
      <w:docPartObj>
        <w:docPartGallery w:val="Page Numbers (Bottom of Page)"/>
        <w:docPartUnique/>
      </w:docPartObj>
    </w:sdtPr>
    <w:sdtEndPr>
      <w:rPr>
        <w:noProof/>
      </w:rPr>
    </w:sdtEndPr>
    <w:sdtContent>
      <w:p w14:paraId="27FD687A" w14:textId="77777777" w:rsidR="00AE6963" w:rsidRPr="00BA6F20" w:rsidRDefault="00AE6963" w:rsidP="00BA6F20">
        <w:pPr>
          <w:pStyle w:val="Footer"/>
          <w:rPr>
            <w:noProof/>
          </w:rPr>
        </w:pPr>
        <w:r w:rsidRPr="00BA6F20">
          <w:rPr>
            <w:b/>
            <w:bCs/>
            <w:noProof/>
          </w:rPr>
          <w:t>Consultation Paper</w:t>
        </w:r>
      </w:p>
      <w:p w14:paraId="3F9DDE2C" w14:textId="3D4B50A3" w:rsidR="00AE6963" w:rsidRDefault="00AB55ED" w:rsidP="00AE6963">
        <w:pPr>
          <w:pStyle w:val="Footer"/>
          <w:tabs>
            <w:tab w:val="clear" w:pos="9026"/>
            <w:tab w:val="right" w:pos="14317"/>
          </w:tabs>
        </w:pPr>
        <w:sdt>
          <w:sdtPr>
            <w:alias w:val="Title"/>
            <w:tag w:val=""/>
            <w:id w:val="-1319503907"/>
            <w:placeholder>
              <w:docPart w:val="56AE43EB61A644F087D9171FEE162E92"/>
            </w:placeholder>
            <w:dataBinding w:prefixMappings="xmlns:ns0='http://purl.org/dc/elements/1.1/' xmlns:ns1='http://schemas.openxmlformats.org/package/2006/metadata/core-properties' " w:xpath="/ns1:coreProperties[1]/ns0:title[1]" w:storeItemID="{6C3C8BC8-F283-45AE-878A-BAB7291924A1}"/>
            <w:text/>
          </w:sdtPr>
          <w:sdtEndPr/>
          <w:sdtContent>
            <w:r w:rsidR="00A1673F">
              <w:t>Improving the safety of crane operations in the maritime sector</w:t>
            </w:r>
          </w:sdtContent>
        </w:sdt>
        <w:r w:rsidR="00AE6963">
          <w:tab/>
        </w:r>
        <w:r w:rsidR="00AE6963">
          <w:tab/>
        </w:r>
        <w:r w:rsidR="00AE6963" w:rsidRPr="00BA6F20">
          <w:rPr>
            <w:b/>
            <w:bCs/>
            <w:noProof/>
          </w:rPr>
          <w:t xml:space="preserve">consult.swa.gov.au | </w:t>
        </w:r>
        <w:r w:rsidR="00AE6963" w:rsidRPr="00BA6F20">
          <w:rPr>
            <w:b/>
            <w:bCs/>
          </w:rPr>
          <w:fldChar w:fldCharType="begin"/>
        </w:r>
        <w:r w:rsidR="00AE6963" w:rsidRPr="00BA6F20">
          <w:rPr>
            <w:b/>
            <w:bCs/>
          </w:rPr>
          <w:instrText xml:space="preserve"> PAGE   \* MERGEFORMAT </w:instrText>
        </w:r>
        <w:r w:rsidR="00AE6963" w:rsidRPr="00BA6F20">
          <w:rPr>
            <w:b/>
            <w:bCs/>
          </w:rPr>
          <w:fldChar w:fldCharType="separate"/>
        </w:r>
        <w:r w:rsidR="00AE6963" w:rsidRPr="00BA6F20">
          <w:rPr>
            <w:b/>
            <w:bCs/>
          </w:rPr>
          <w:t>4</w:t>
        </w:r>
        <w:r w:rsidR="00AE6963" w:rsidRPr="00BA6F20">
          <w:rPr>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40FB" w14:textId="77777777" w:rsidR="00A376D7" w:rsidRDefault="00A376D7" w:rsidP="00200539">
      <w:pPr>
        <w:spacing w:after="0"/>
      </w:pPr>
      <w:r>
        <w:separator/>
      </w:r>
    </w:p>
  </w:footnote>
  <w:footnote w:type="continuationSeparator" w:id="0">
    <w:p w14:paraId="28759DB8" w14:textId="77777777" w:rsidR="00A376D7" w:rsidRDefault="00A376D7" w:rsidP="00200539">
      <w:pPr>
        <w:spacing w:after="0"/>
      </w:pPr>
      <w:r>
        <w:continuationSeparator/>
      </w:r>
    </w:p>
  </w:footnote>
  <w:footnote w:type="continuationNotice" w:id="1">
    <w:p w14:paraId="328D49DD" w14:textId="77777777" w:rsidR="00A376D7" w:rsidRDefault="00A376D7">
      <w:pPr>
        <w:spacing w:after="0"/>
      </w:pPr>
    </w:p>
  </w:footnote>
  <w:footnote w:id="2">
    <w:p w14:paraId="1E0BAA7C" w14:textId="6419D335" w:rsidR="00BF0F0F" w:rsidRDefault="00BF0F0F" w:rsidP="00BF0F0F">
      <w:pPr>
        <w:pStyle w:val="FootnoteText"/>
        <w:spacing w:after="40"/>
      </w:pPr>
      <w:r>
        <w:rPr>
          <w:rStyle w:val="FootnoteReference"/>
        </w:rPr>
        <w:footnoteRef/>
      </w:r>
      <w:r w:rsidRPr="00A1726D">
        <w:t>Australia's Exclusive Economic Zone (EEZ) extends 200 nautical miles (370 km) from Australia's coast. </w:t>
      </w:r>
      <w:r w:rsidR="00962A34" w:rsidRPr="00962A34">
        <w:rPr>
          <w:i/>
          <w:iCs/>
        </w:rPr>
        <w:t>Seas and submerged lands Act 1973</w:t>
      </w:r>
      <w:r w:rsidR="00962A34" w:rsidRPr="00962A34">
        <w:t xml:space="preserve"> </w:t>
      </w:r>
      <w:hyperlink r:id="rId1" w:history="1">
        <w:r w:rsidR="00962A34" w:rsidRPr="00962A34">
          <w:rPr>
            <w:rStyle w:val="Hyperlink"/>
          </w:rPr>
          <w:t>Maritime Boundary Definitions | Geoscience Australia</w:t>
        </w:r>
      </w:hyperlink>
      <w:r w:rsidR="00962A3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1A74A" w14:textId="69CDAED9" w:rsidR="00614BCA" w:rsidRDefault="00614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B80B" w14:textId="12B9A3F6" w:rsidR="00614BCA" w:rsidRDefault="00614B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7F970" w14:textId="6B24473C" w:rsidR="009E5167" w:rsidRDefault="00C01ABE">
    <w:pPr>
      <w:pStyle w:val="Header"/>
    </w:pPr>
    <w:r>
      <w:rPr>
        <w:noProof/>
      </w:rPr>
      <w:drawing>
        <wp:anchor distT="0" distB="0" distL="114300" distR="114300" simplePos="0" relativeHeight="251665408" behindDoc="1" locked="0" layoutInCell="1" allowOverlap="1" wp14:anchorId="0C186E38" wp14:editId="4F833B84">
          <wp:simplePos x="0" y="0"/>
          <wp:positionH relativeFrom="margin">
            <wp:posOffset>4445</wp:posOffset>
          </wp:positionH>
          <wp:positionV relativeFrom="paragraph">
            <wp:posOffset>330200</wp:posOffset>
          </wp:positionV>
          <wp:extent cx="1939925" cy="283845"/>
          <wp:effectExtent l="0" t="0" r="3175" b="1905"/>
          <wp:wrapNone/>
          <wp:docPr id="7936936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38678" name="Graphic 1"/>
                  <pic:cNvPicPr>
                    <a:picLocks noChangeAspect="1"/>
                  </pic:cNvPicPr>
                </pic:nvPicPr>
                <pic:blipFill rotWithShape="1">
                  <a:blip r:embed="rId1">
                    <a:extLst>
                      <a:ext uri="{96DAC541-7B7A-43D3-8B79-37D633B846F1}">
                        <asvg:svgBlip xmlns:asvg="http://schemas.microsoft.com/office/drawing/2016/SVG/main" r:embed="rId2"/>
                      </a:ext>
                    </a:extLst>
                  </a:blip>
                  <a:srcRect t="-3490" b="-3490"/>
                  <a:stretch/>
                </pic:blipFill>
                <pic:spPr bwMode="auto">
                  <a:xfrm>
                    <a:off x="0" y="0"/>
                    <a:ext cx="1939925" cy="283845"/>
                  </a:xfrm>
                  <a:prstGeom prst="rect">
                    <a:avLst/>
                  </a:prstGeom>
                  <a:extLst>
                    <a:ext uri="{53640926-AAD7-44D8-BBD7-CCE9431645EC}">
                      <a14:shadowObscured xmlns:a14="http://schemas.microsoft.com/office/drawing/2010/main"/>
                    </a:ext>
                  </a:extLst>
                </pic:spPr>
              </pic:pic>
            </a:graphicData>
          </a:graphic>
        </wp:anchor>
      </w:drawing>
    </w:r>
    <w:r w:rsidR="00BA6F20">
      <w:rPr>
        <w:noProof/>
      </w:rPr>
      <w:drawing>
        <wp:anchor distT="0" distB="0" distL="114300" distR="114300" simplePos="0" relativeHeight="251667456" behindDoc="1" locked="0" layoutInCell="1" allowOverlap="1" wp14:anchorId="034BE6ED" wp14:editId="07E63959">
          <wp:simplePos x="0" y="0"/>
          <wp:positionH relativeFrom="margin">
            <wp:posOffset>3835400</wp:posOffset>
          </wp:positionH>
          <wp:positionV relativeFrom="paragraph">
            <wp:posOffset>328930</wp:posOffset>
          </wp:positionV>
          <wp:extent cx="1923415" cy="285115"/>
          <wp:effectExtent l="0" t="0" r="635" b="635"/>
          <wp:wrapNone/>
          <wp:docPr id="48906678"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019745" name="Graphic 1120019745"/>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923415" cy="28511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F50C" w14:textId="34BDA59E" w:rsidR="00614BCA" w:rsidRDefault="00614B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B4CB" w14:textId="6A876C66" w:rsidR="00614BCA" w:rsidRDefault="00614B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1D85" w14:textId="76D3C1C5" w:rsidR="00BA6F20" w:rsidRDefault="00BA6F20">
    <w:pPr>
      <w:pStyle w:val="Header"/>
    </w:pPr>
    <w:r>
      <w:rPr>
        <w:noProof/>
      </w:rPr>
      <w:drawing>
        <wp:anchor distT="0" distB="0" distL="114300" distR="114300" simplePos="0" relativeHeight="251663360" behindDoc="1" locked="0" layoutInCell="1" allowOverlap="1" wp14:anchorId="15430319" wp14:editId="46DA9B51">
          <wp:simplePos x="0" y="0"/>
          <wp:positionH relativeFrom="column">
            <wp:posOffset>2751753</wp:posOffset>
          </wp:positionH>
          <wp:positionV relativeFrom="paragraph">
            <wp:posOffset>-1432336</wp:posOffset>
          </wp:positionV>
          <wp:extent cx="6205235" cy="6205235"/>
          <wp:effectExtent l="0" t="0" r="5080" b="5080"/>
          <wp:wrapNone/>
          <wp:docPr id="11861753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65154" name="Graphic 160596515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205235" cy="62052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B8545F8" wp14:editId="52DA293D">
          <wp:simplePos x="0" y="0"/>
          <wp:positionH relativeFrom="margin">
            <wp:align>left</wp:align>
          </wp:positionH>
          <wp:positionV relativeFrom="paragraph">
            <wp:posOffset>504190</wp:posOffset>
          </wp:positionV>
          <wp:extent cx="1939925" cy="283845"/>
          <wp:effectExtent l="0" t="0" r="3175" b="1905"/>
          <wp:wrapNone/>
          <wp:docPr id="348565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38678" name="Graphic 1294938678"/>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l="3896" t="21178" r="6788" b="23465"/>
                  <a:stretch/>
                </pic:blipFill>
                <pic:spPr bwMode="auto">
                  <a:xfrm>
                    <a:off x="0" y="0"/>
                    <a:ext cx="1939925" cy="283845"/>
                  </a:xfrm>
                  <a:prstGeom prst="rect">
                    <a:avLst/>
                  </a:prstGeom>
                  <a:ln>
                    <a:noFill/>
                  </a:ln>
                  <a:extLst>
                    <a:ext uri="{53640926-AAD7-44D8-BBD7-CCE9431645EC}">
                      <a14:shadowObscured xmlns:a14="http://schemas.microsoft.com/office/drawing/2010/main"/>
                    </a:ext>
                  </a:extLst>
                </pic:spPr>
              </pic:pic>
            </a:graphicData>
          </a:graphic>
        </wp:anchor>
      </w:drawing>
    </w:r>
  </w:p>
  <w:p w14:paraId="13433B34" w14:textId="77777777" w:rsidR="00BA6F20" w:rsidRDefault="00BA6F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BA39" w14:textId="5504A30B" w:rsidR="00614BCA" w:rsidRDefault="00614B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3A93" w14:textId="2DEFBCC2" w:rsidR="00614BCA" w:rsidRDefault="00614BC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21CF" w14:textId="68566243" w:rsidR="00614BCA" w:rsidRDefault="00614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4A4FEB2"/>
    <w:lvl w:ilvl="0">
      <w:start w:val="1"/>
      <w:numFmt w:val="decimal"/>
      <w:pStyle w:val="ListNumber"/>
      <w:lvlText w:val="%1."/>
      <w:lvlJc w:val="left"/>
      <w:pPr>
        <w:tabs>
          <w:tab w:val="num" w:pos="360"/>
        </w:tabs>
        <w:ind w:left="360" w:hanging="360"/>
      </w:pPr>
    </w:lvl>
  </w:abstractNum>
  <w:abstractNum w:abstractNumId="1"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CAD6D13"/>
    <w:multiLevelType w:val="hybridMultilevel"/>
    <w:tmpl w:val="DAFC7E7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 w15:restartNumberingAfterBreak="0">
    <w:nsid w:val="16641DF2"/>
    <w:multiLevelType w:val="hybridMultilevel"/>
    <w:tmpl w:val="CFD6E644"/>
    <w:lvl w:ilvl="0" w:tplc="C6BA8346">
      <w:start w:val="12"/>
      <w:numFmt w:val="decimal"/>
      <w:pStyle w:val="numberedpara"/>
      <w:lvlText w:val="%1."/>
      <w:lvlJc w:val="left"/>
      <w:pPr>
        <w:tabs>
          <w:tab w:val="num" w:pos="1134"/>
        </w:tabs>
        <w:ind w:left="567" w:hanging="567"/>
      </w:pPr>
      <w:rPr>
        <w:rFonts w:ascii="Arial" w:hAnsi="Arial" w:cs="Arial" w:hint="default"/>
        <w:b w:val="0"/>
        <w:i w:val="0"/>
        <w:color w:val="auto"/>
        <w:sz w:val="22"/>
      </w:rPr>
    </w:lvl>
    <w:lvl w:ilvl="1" w:tplc="0C090003">
      <w:start w:val="1"/>
      <w:numFmt w:val="bullet"/>
      <w:lvlText w:val="o"/>
      <w:lvlJc w:val="left"/>
      <w:pPr>
        <w:tabs>
          <w:tab w:val="num" w:pos="1440"/>
        </w:tabs>
        <w:ind w:left="1440" w:hanging="360"/>
      </w:pPr>
      <w:rPr>
        <w:rFonts w:ascii="Courier New" w:hAnsi="Courier New" w:cs="Courier New" w:hint="default"/>
        <w:b w:val="0"/>
        <w:i w:val="0"/>
        <w:color w:val="auto"/>
        <w:sz w:val="22"/>
      </w:r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rPr>
        <w:rFonts w:hint="default"/>
        <w:b w:val="0"/>
        <w:i w:val="0"/>
        <w:color w:val="auto"/>
        <w:sz w:val="22"/>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9D5237C"/>
    <w:multiLevelType w:val="hybridMultilevel"/>
    <w:tmpl w:val="063EC58E"/>
    <w:lvl w:ilvl="0" w:tplc="8C8A3232">
      <w:start w:val="1"/>
      <w:numFmt w:val="decimal"/>
      <w:pStyle w:val="2018Review1stHeading"/>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D3E1BD5"/>
    <w:multiLevelType w:val="hybridMultilevel"/>
    <w:tmpl w:val="9AC60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C72F48"/>
    <w:multiLevelType w:val="multilevel"/>
    <w:tmpl w:val="498C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F8D61C8"/>
    <w:multiLevelType w:val="hybridMultilevel"/>
    <w:tmpl w:val="D0829E40"/>
    <w:lvl w:ilvl="0" w:tplc="950ED40A">
      <w:start w:val="1"/>
      <w:numFmt w:val="bullet"/>
      <w:pStyle w:val="2018Review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C8566A"/>
    <w:multiLevelType w:val="multilevel"/>
    <w:tmpl w:val="DBE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772173"/>
    <w:multiLevelType w:val="hybridMultilevel"/>
    <w:tmpl w:val="15A0F6D0"/>
    <w:lvl w:ilvl="0" w:tplc="40BA94A8">
      <w:start w:val="1"/>
      <w:numFmt w:val="decimal"/>
      <w:lvlText w:val="%1."/>
      <w:lvlJc w:val="left"/>
      <w:pPr>
        <w:ind w:left="1070" w:hanging="360"/>
      </w:pPr>
      <w:rPr>
        <w:rFonts w:hint="default"/>
        <w:b w:val="0"/>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377F8A"/>
    <w:multiLevelType w:val="multilevel"/>
    <w:tmpl w:val="42F0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00FC5"/>
    <w:multiLevelType w:val="hybridMultilevel"/>
    <w:tmpl w:val="D4D0BFC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3" w15:restartNumberingAfterBreak="0">
    <w:nsid w:val="3EF159B4"/>
    <w:multiLevelType w:val="multilevel"/>
    <w:tmpl w:val="F0687AF0"/>
    <w:lvl w:ilvl="0">
      <w:start w:val="1"/>
      <w:numFmt w:val="decimal"/>
      <w:pStyle w:val="SWAHeading1"/>
      <w:lvlText w:val="%1."/>
      <w:lvlJc w:val="left"/>
      <w:pPr>
        <w:ind w:left="4471" w:hanging="360"/>
      </w:pPr>
      <w:rPr>
        <w:rFonts w:hint="default"/>
      </w:rPr>
    </w:lvl>
    <w:lvl w:ilvl="1">
      <w:start w:val="1"/>
      <w:numFmt w:val="decimal"/>
      <w:pStyle w:val="SWAHeading2"/>
      <w:lvlText w:val="%1.%2."/>
      <w:lvlJc w:val="left"/>
      <w:pPr>
        <w:ind w:left="284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32771F2"/>
    <w:multiLevelType w:val="multilevel"/>
    <w:tmpl w:val="288C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002F54"/>
    <w:multiLevelType w:val="multilevel"/>
    <w:tmpl w:val="4A4C92C6"/>
    <w:lvl w:ilvl="0">
      <w:start w:val="1"/>
      <w:numFmt w:val="decimal"/>
      <w:pStyle w:val="NumberingSW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B65293"/>
    <w:multiLevelType w:val="multilevel"/>
    <w:tmpl w:val="CF58E5C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764C9"/>
    <w:multiLevelType w:val="multilevel"/>
    <w:tmpl w:val="9472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0D7209"/>
    <w:multiLevelType w:val="hybridMultilevel"/>
    <w:tmpl w:val="8A5C8C6E"/>
    <w:lvl w:ilvl="0" w:tplc="5E00B4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2EF67DE"/>
    <w:multiLevelType w:val="hybridMultilevel"/>
    <w:tmpl w:val="19ECD6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5C4076E"/>
    <w:multiLevelType w:val="hybridMultilevel"/>
    <w:tmpl w:val="8B34E66A"/>
    <w:lvl w:ilvl="0" w:tplc="DAB4B5D6">
      <w:start w:val="1"/>
      <w:numFmt w:val="decimal"/>
      <w:pStyle w:val="SWASectiontitl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63A2F66"/>
    <w:multiLevelType w:val="hybridMultilevel"/>
    <w:tmpl w:val="B628B7AA"/>
    <w:lvl w:ilvl="0" w:tplc="826A7E7A">
      <w:start w:val="1"/>
      <w:numFmt w:val="bullet"/>
      <w:pStyle w:val="2018reviewquestionbulletpoints"/>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D9508F"/>
    <w:multiLevelType w:val="hybridMultilevel"/>
    <w:tmpl w:val="8FD2CF98"/>
    <w:lvl w:ilvl="0" w:tplc="1CD46BB4">
      <w:start w:val="1"/>
      <w:numFmt w:val="lowerLetter"/>
      <w:pStyle w:val="ListNumber2"/>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3" w15:restartNumberingAfterBreak="0">
    <w:nsid w:val="65B52198"/>
    <w:multiLevelType w:val="hybridMultilevel"/>
    <w:tmpl w:val="28188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160E7A"/>
    <w:multiLevelType w:val="multilevel"/>
    <w:tmpl w:val="3230A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AA7E86"/>
    <w:multiLevelType w:val="multilevel"/>
    <w:tmpl w:val="D1BCC71C"/>
    <w:lvl w:ilvl="0">
      <w:start w:val="1"/>
      <w:numFmt w:val="bullet"/>
      <w:pStyle w:val="DashEm1"/>
      <w:lvlText w:val="—"/>
      <w:lvlJc w:val="left"/>
      <w:pPr>
        <w:tabs>
          <w:tab w:val="num" w:pos="425"/>
        </w:tabs>
        <w:ind w:left="425" w:hanging="425"/>
      </w:pPr>
      <w:rPr>
        <w:rFonts w:hint="default"/>
        <w:b/>
        <w:i w:val="0"/>
        <w:color w:val="auto"/>
      </w:rPr>
    </w:lvl>
    <w:lvl w:ilvl="1">
      <w:start w:val="1"/>
      <w:numFmt w:val="bullet"/>
      <w:pStyle w:val="DashEm"/>
      <w:lvlText w:val="—"/>
      <w:lvlJc w:val="left"/>
      <w:pPr>
        <w:tabs>
          <w:tab w:val="num" w:pos="425"/>
        </w:tabs>
        <w:ind w:left="425" w:hanging="425"/>
      </w:pPr>
      <w:rPr>
        <w:rFonts w:hint="default"/>
        <w:b/>
        <w:i w:val="0"/>
        <w:color w:val="auto"/>
      </w:rPr>
    </w:lvl>
    <w:lvl w:ilvl="2">
      <w:start w:val="1"/>
      <w:numFmt w:val="bullet"/>
      <w:pStyle w:val="DashEn1"/>
      <w:lvlText w:val="–"/>
      <w:lvlJc w:val="left"/>
      <w:pPr>
        <w:tabs>
          <w:tab w:val="num" w:pos="850"/>
        </w:tabs>
        <w:ind w:left="850" w:hanging="425"/>
      </w:pPr>
      <w:rPr>
        <w:rFonts w:hint="default"/>
        <w:b w:val="0"/>
        <w:i w:val="0"/>
      </w:rPr>
    </w:lvl>
    <w:lvl w:ilvl="3">
      <w:start w:val="1"/>
      <w:numFmt w:val="bullet"/>
      <w:pStyle w:val="DashEn2"/>
      <w:lvlText w:val="–"/>
      <w:lvlJc w:val="left"/>
      <w:pPr>
        <w:tabs>
          <w:tab w:val="num" w:pos="1276"/>
        </w:tabs>
        <w:ind w:left="1276" w:hanging="426"/>
      </w:pPr>
      <w:rPr>
        <w:rFonts w:hint="default"/>
        <w:b w:val="0"/>
        <w:i w:val="0"/>
      </w:rPr>
    </w:lvl>
    <w:lvl w:ilvl="4">
      <w:start w:val="1"/>
      <w:numFmt w:val="bullet"/>
      <w:pStyle w:val="DashEn3"/>
      <w:lvlText w:val="–"/>
      <w:lvlJc w:val="left"/>
      <w:pPr>
        <w:tabs>
          <w:tab w:val="num" w:pos="1701"/>
        </w:tabs>
        <w:ind w:left="1701" w:hanging="425"/>
      </w:pPr>
      <w:rPr>
        <w:rFonts w:hint="default"/>
        <w:b w:val="0"/>
        <w:i w:val="0"/>
      </w:rPr>
    </w:lvl>
    <w:lvl w:ilvl="5">
      <w:start w:val="1"/>
      <w:numFmt w:val="bullet"/>
      <w:pStyle w:val="DashEn4"/>
      <w:lvlText w:val="–"/>
      <w:lvlJc w:val="left"/>
      <w:pPr>
        <w:tabs>
          <w:tab w:val="num" w:pos="2126"/>
        </w:tabs>
        <w:ind w:left="2126" w:hanging="425"/>
      </w:pPr>
      <w:rPr>
        <w:rFonts w:hint="default"/>
        <w:b w:val="0"/>
        <w:i w:val="0"/>
      </w:rPr>
    </w:lvl>
    <w:lvl w:ilvl="6">
      <w:start w:val="1"/>
      <w:numFmt w:val="bullet"/>
      <w:pStyle w:val="DashEn5"/>
      <w:lvlText w:val="–"/>
      <w:lvlJc w:val="left"/>
      <w:pPr>
        <w:tabs>
          <w:tab w:val="num" w:pos="2551"/>
        </w:tabs>
        <w:ind w:left="2551" w:hanging="425"/>
      </w:pPr>
      <w:rPr>
        <w:rFonts w:hint="default"/>
        <w:b w:val="0"/>
        <w:i w:val="0"/>
      </w:rPr>
    </w:lvl>
    <w:lvl w:ilvl="7">
      <w:start w:val="1"/>
      <w:numFmt w:val="bullet"/>
      <w:pStyle w:val="DashEn6"/>
      <w:lvlText w:val="–"/>
      <w:lvlJc w:val="left"/>
      <w:pPr>
        <w:tabs>
          <w:tab w:val="num" w:pos="2976"/>
        </w:tabs>
        <w:ind w:left="2976" w:hanging="425"/>
      </w:pPr>
      <w:rPr>
        <w:rFonts w:hint="default"/>
        <w:b w:val="0"/>
        <w:i w:val="0"/>
      </w:rPr>
    </w:lvl>
    <w:lvl w:ilvl="8">
      <w:start w:val="1"/>
      <w:numFmt w:val="bullet"/>
      <w:pStyle w:val="DashEn7"/>
      <w:lvlText w:val="–"/>
      <w:lvlJc w:val="left"/>
      <w:pPr>
        <w:tabs>
          <w:tab w:val="num" w:pos="3402"/>
        </w:tabs>
        <w:ind w:left="3402" w:hanging="426"/>
      </w:pPr>
      <w:rPr>
        <w:rFonts w:hint="default"/>
        <w:b w:val="0"/>
        <w:i w:val="0"/>
      </w:rPr>
    </w:lvl>
  </w:abstractNum>
  <w:abstractNum w:abstractNumId="26" w15:restartNumberingAfterBreak="0">
    <w:nsid w:val="74D31029"/>
    <w:multiLevelType w:val="multilevel"/>
    <w:tmpl w:val="50F4FD0A"/>
    <w:lvl w:ilvl="0">
      <w:start w:val="1"/>
      <w:numFmt w:val="bullet"/>
      <w:pStyle w:val="Bullet1"/>
      <w:lvlText w:val="■"/>
      <w:lvlJc w:val="left"/>
      <w:pPr>
        <w:tabs>
          <w:tab w:val="num" w:pos="567"/>
        </w:tabs>
        <w:ind w:left="567" w:hanging="567"/>
      </w:pPr>
      <w:rPr>
        <w:rFonts w:ascii="Arial" w:hAnsi="Arial" w:hint="default"/>
        <w:color w:val="931638"/>
        <w:sz w:val="28"/>
      </w:rPr>
    </w:lvl>
    <w:lvl w:ilvl="1">
      <w:start w:val="1"/>
      <w:numFmt w:val="bullet"/>
      <w:lvlRestart w:val="0"/>
      <w:pStyle w:val="Bullet2"/>
      <w:lvlText w:val=""/>
      <w:lvlJc w:val="left"/>
      <w:pPr>
        <w:tabs>
          <w:tab w:val="num" w:pos="1134"/>
        </w:tabs>
        <w:ind w:left="1134" w:hanging="567"/>
      </w:pPr>
      <w:rPr>
        <w:rFonts w:ascii="Wingdings 3" w:hAnsi="Wingdings 3" w:hint="default"/>
        <w:b/>
        <w:i w:val="0"/>
        <w:color w:val="931638"/>
        <w:sz w:val="24"/>
      </w:rPr>
    </w:lvl>
    <w:lvl w:ilvl="2">
      <w:start w:val="1"/>
      <w:numFmt w:val="bullet"/>
      <w:pStyle w:val="Bullet3"/>
      <w:lvlText w:val="-"/>
      <w:lvlJc w:val="left"/>
      <w:pPr>
        <w:tabs>
          <w:tab w:val="num" w:pos="1701"/>
        </w:tabs>
        <w:ind w:left="1701" w:hanging="567"/>
      </w:pPr>
      <w:rPr>
        <w:rFonts w:ascii="Arial" w:hAnsi="Arial" w:hint="default"/>
        <w:color w:val="931638"/>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52F4A9D"/>
    <w:multiLevelType w:val="hybridMultilevel"/>
    <w:tmpl w:val="3934D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8C14AC0"/>
    <w:multiLevelType w:val="multilevel"/>
    <w:tmpl w:val="896A22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val="0"/>
        <w:i w:val="0"/>
        <w:i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5675E"/>
    <w:multiLevelType w:val="hybridMultilevel"/>
    <w:tmpl w:val="92924D4A"/>
    <w:lvl w:ilvl="0" w:tplc="AE86F678">
      <w:start w:val="1"/>
      <w:numFmt w:val="bullet"/>
      <w:pStyle w:val="ListBullet2"/>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30" w15:restartNumberingAfterBreak="0">
    <w:nsid w:val="7ECD56B4"/>
    <w:multiLevelType w:val="hybridMultilevel"/>
    <w:tmpl w:val="3418F38C"/>
    <w:lvl w:ilvl="0" w:tplc="D22EB83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10318995">
    <w:abstractNumId w:val="8"/>
  </w:num>
  <w:num w:numId="2" w16cid:durableId="1417483124">
    <w:abstractNumId w:val="20"/>
  </w:num>
  <w:num w:numId="3" w16cid:durableId="1587884830">
    <w:abstractNumId w:val="26"/>
  </w:num>
  <w:num w:numId="4" w16cid:durableId="1740901846">
    <w:abstractNumId w:val="3"/>
  </w:num>
  <w:num w:numId="5" w16cid:durableId="275068258">
    <w:abstractNumId w:val="25"/>
  </w:num>
  <w:num w:numId="6" w16cid:durableId="1299143330">
    <w:abstractNumId w:val="4"/>
  </w:num>
  <w:num w:numId="7" w16cid:durableId="154499333">
    <w:abstractNumId w:val="21"/>
  </w:num>
  <w:num w:numId="8" w16cid:durableId="152140645">
    <w:abstractNumId w:val="0"/>
  </w:num>
  <w:num w:numId="9" w16cid:durableId="1849637084">
    <w:abstractNumId w:val="30"/>
  </w:num>
  <w:num w:numId="10" w16cid:durableId="139277742">
    <w:abstractNumId w:val="15"/>
  </w:num>
  <w:num w:numId="11" w16cid:durableId="2046825449">
    <w:abstractNumId w:val="7"/>
  </w:num>
  <w:num w:numId="12" w16cid:durableId="261954876">
    <w:abstractNumId w:val="1"/>
  </w:num>
  <w:num w:numId="13" w16cid:durableId="1062144588">
    <w:abstractNumId w:val="29"/>
  </w:num>
  <w:num w:numId="14" w16cid:durableId="1248659126">
    <w:abstractNumId w:val="22"/>
  </w:num>
  <w:num w:numId="15" w16cid:durableId="474763300">
    <w:abstractNumId w:val="13"/>
  </w:num>
  <w:num w:numId="16" w16cid:durableId="1062017858">
    <w:abstractNumId w:val="27"/>
  </w:num>
  <w:num w:numId="17" w16cid:durableId="321158029">
    <w:abstractNumId w:val="10"/>
  </w:num>
  <w:num w:numId="18" w16cid:durableId="1120804947">
    <w:abstractNumId w:val="19"/>
  </w:num>
  <w:num w:numId="19" w16cid:durableId="2022966982">
    <w:abstractNumId w:val="5"/>
  </w:num>
  <w:num w:numId="20" w16cid:durableId="1179083912">
    <w:abstractNumId w:val="2"/>
  </w:num>
  <w:num w:numId="21" w16cid:durableId="1141775723">
    <w:abstractNumId w:val="12"/>
  </w:num>
  <w:num w:numId="22" w16cid:durableId="1750808962">
    <w:abstractNumId w:val="23"/>
  </w:num>
  <w:num w:numId="23" w16cid:durableId="1570656509">
    <w:abstractNumId w:val="18"/>
  </w:num>
  <w:num w:numId="24" w16cid:durableId="463238212">
    <w:abstractNumId w:val="14"/>
  </w:num>
  <w:num w:numId="25" w16cid:durableId="1838229694">
    <w:abstractNumId w:val="9"/>
  </w:num>
  <w:num w:numId="26" w16cid:durableId="1111825119">
    <w:abstractNumId w:val="6"/>
  </w:num>
  <w:num w:numId="27" w16cid:durableId="2128308909">
    <w:abstractNumId w:val="24"/>
  </w:num>
  <w:num w:numId="28" w16cid:durableId="616372333">
    <w:abstractNumId w:val="28"/>
  </w:num>
  <w:num w:numId="29" w16cid:durableId="1185749249">
    <w:abstractNumId w:val="11"/>
  </w:num>
  <w:num w:numId="30" w16cid:durableId="1617180062">
    <w:abstractNumId w:val="17"/>
  </w:num>
  <w:num w:numId="31" w16cid:durableId="375391802">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9BE"/>
    <w:rsid w:val="000000E5"/>
    <w:rsid w:val="00000170"/>
    <w:rsid w:val="0000035C"/>
    <w:rsid w:val="000003A6"/>
    <w:rsid w:val="000003C7"/>
    <w:rsid w:val="000003D5"/>
    <w:rsid w:val="00000447"/>
    <w:rsid w:val="000004D0"/>
    <w:rsid w:val="0000075D"/>
    <w:rsid w:val="00000787"/>
    <w:rsid w:val="000007CA"/>
    <w:rsid w:val="00000803"/>
    <w:rsid w:val="00000876"/>
    <w:rsid w:val="0000093E"/>
    <w:rsid w:val="00000942"/>
    <w:rsid w:val="0000094E"/>
    <w:rsid w:val="0000099E"/>
    <w:rsid w:val="00000B20"/>
    <w:rsid w:val="00000B88"/>
    <w:rsid w:val="00000D70"/>
    <w:rsid w:val="00000DE9"/>
    <w:rsid w:val="00001095"/>
    <w:rsid w:val="0000131B"/>
    <w:rsid w:val="000015F3"/>
    <w:rsid w:val="0000173A"/>
    <w:rsid w:val="000017FF"/>
    <w:rsid w:val="000019BF"/>
    <w:rsid w:val="000019F8"/>
    <w:rsid w:val="00001A9E"/>
    <w:rsid w:val="00001AD5"/>
    <w:rsid w:val="00001BC5"/>
    <w:rsid w:val="00001D2A"/>
    <w:rsid w:val="0000202A"/>
    <w:rsid w:val="00002062"/>
    <w:rsid w:val="0000218E"/>
    <w:rsid w:val="00002301"/>
    <w:rsid w:val="000024B0"/>
    <w:rsid w:val="00002508"/>
    <w:rsid w:val="000025F8"/>
    <w:rsid w:val="0000299E"/>
    <w:rsid w:val="000029E3"/>
    <w:rsid w:val="00002BF0"/>
    <w:rsid w:val="00002D1B"/>
    <w:rsid w:val="00003072"/>
    <w:rsid w:val="00003115"/>
    <w:rsid w:val="000032D9"/>
    <w:rsid w:val="000033A4"/>
    <w:rsid w:val="00003682"/>
    <w:rsid w:val="0000375A"/>
    <w:rsid w:val="000039DA"/>
    <w:rsid w:val="00003AB2"/>
    <w:rsid w:val="00003D16"/>
    <w:rsid w:val="00003DDA"/>
    <w:rsid w:val="00003FF0"/>
    <w:rsid w:val="000041CA"/>
    <w:rsid w:val="000045C5"/>
    <w:rsid w:val="00004971"/>
    <w:rsid w:val="000049AF"/>
    <w:rsid w:val="000049F6"/>
    <w:rsid w:val="00004A71"/>
    <w:rsid w:val="00004CE3"/>
    <w:rsid w:val="00004E45"/>
    <w:rsid w:val="00004EC0"/>
    <w:rsid w:val="00004EDC"/>
    <w:rsid w:val="00004F6B"/>
    <w:rsid w:val="0000502C"/>
    <w:rsid w:val="00005036"/>
    <w:rsid w:val="000051D3"/>
    <w:rsid w:val="00005202"/>
    <w:rsid w:val="000052E1"/>
    <w:rsid w:val="000055AB"/>
    <w:rsid w:val="00005882"/>
    <w:rsid w:val="00005889"/>
    <w:rsid w:val="00005931"/>
    <w:rsid w:val="00005C0C"/>
    <w:rsid w:val="00005C3A"/>
    <w:rsid w:val="00005DEE"/>
    <w:rsid w:val="00006150"/>
    <w:rsid w:val="000063B3"/>
    <w:rsid w:val="0000664F"/>
    <w:rsid w:val="00006679"/>
    <w:rsid w:val="00006BA6"/>
    <w:rsid w:val="00006C29"/>
    <w:rsid w:val="00006C35"/>
    <w:rsid w:val="00006DC2"/>
    <w:rsid w:val="00006DD6"/>
    <w:rsid w:val="00006FC1"/>
    <w:rsid w:val="00007398"/>
    <w:rsid w:val="00007617"/>
    <w:rsid w:val="0000784B"/>
    <w:rsid w:val="00007904"/>
    <w:rsid w:val="0000790E"/>
    <w:rsid w:val="00007C90"/>
    <w:rsid w:val="00007C9C"/>
    <w:rsid w:val="00007D7E"/>
    <w:rsid w:val="00007E1F"/>
    <w:rsid w:val="00007EAB"/>
    <w:rsid w:val="000100F4"/>
    <w:rsid w:val="00010169"/>
    <w:rsid w:val="000101C0"/>
    <w:rsid w:val="000103FD"/>
    <w:rsid w:val="000106FA"/>
    <w:rsid w:val="00010795"/>
    <w:rsid w:val="000107B3"/>
    <w:rsid w:val="000107CC"/>
    <w:rsid w:val="000108DC"/>
    <w:rsid w:val="00010A4B"/>
    <w:rsid w:val="00010CAD"/>
    <w:rsid w:val="0001103C"/>
    <w:rsid w:val="0001130E"/>
    <w:rsid w:val="000113E8"/>
    <w:rsid w:val="0001143B"/>
    <w:rsid w:val="00011491"/>
    <w:rsid w:val="000114AF"/>
    <w:rsid w:val="000119B8"/>
    <w:rsid w:val="00011AF6"/>
    <w:rsid w:val="00011BD2"/>
    <w:rsid w:val="00011C81"/>
    <w:rsid w:val="00011E7B"/>
    <w:rsid w:val="00011E94"/>
    <w:rsid w:val="00011FA8"/>
    <w:rsid w:val="00012042"/>
    <w:rsid w:val="000120B3"/>
    <w:rsid w:val="000120DA"/>
    <w:rsid w:val="00012115"/>
    <w:rsid w:val="00012163"/>
    <w:rsid w:val="00012287"/>
    <w:rsid w:val="00012352"/>
    <w:rsid w:val="000127BE"/>
    <w:rsid w:val="00012B0E"/>
    <w:rsid w:val="0001318C"/>
    <w:rsid w:val="0001323F"/>
    <w:rsid w:val="000138AF"/>
    <w:rsid w:val="0001396C"/>
    <w:rsid w:val="00013982"/>
    <w:rsid w:val="00013AB4"/>
    <w:rsid w:val="00013CA2"/>
    <w:rsid w:val="00013D3C"/>
    <w:rsid w:val="00013E5E"/>
    <w:rsid w:val="00013FEE"/>
    <w:rsid w:val="00014231"/>
    <w:rsid w:val="0001449F"/>
    <w:rsid w:val="0001459A"/>
    <w:rsid w:val="000145A8"/>
    <w:rsid w:val="00014713"/>
    <w:rsid w:val="00014801"/>
    <w:rsid w:val="00014AC9"/>
    <w:rsid w:val="00014C7B"/>
    <w:rsid w:val="00014E2D"/>
    <w:rsid w:val="00014F23"/>
    <w:rsid w:val="00015032"/>
    <w:rsid w:val="00015267"/>
    <w:rsid w:val="00015470"/>
    <w:rsid w:val="000157DC"/>
    <w:rsid w:val="00015849"/>
    <w:rsid w:val="0001585E"/>
    <w:rsid w:val="000158DF"/>
    <w:rsid w:val="00015959"/>
    <w:rsid w:val="000159EA"/>
    <w:rsid w:val="00015A16"/>
    <w:rsid w:val="00015E96"/>
    <w:rsid w:val="00015F76"/>
    <w:rsid w:val="0001616B"/>
    <w:rsid w:val="00016295"/>
    <w:rsid w:val="000162F8"/>
    <w:rsid w:val="0001641A"/>
    <w:rsid w:val="0001649B"/>
    <w:rsid w:val="000166E0"/>
    <w:rsid w:val="0001680B"/>
    <w:rsid w:val="00016D0A"/>
    <w:rsid w:val="00016EB9"/>
    <w:rsid w:val="00016F24"/>
    <w:rsid w:val="000170E6"/>
    <w:rsid w:val="000176F1"/>
    <w:rsid w:val="000177FB"/>
    <w:rsid w:val="0001795A"/>
    <w:rsid w:val="00017BBD"/>
    <w:rsid w:val="00017E67"/>
    <w:rsid w:val="00017EC8"/>
    <w:rsid w:val="000200CE"/>
    <w:rsid w:val="000200F3"/>
    <w:rsid w:val="00020193"/>
    <w:rsid w:val="000202F4"/>
    <w:rsid w:val="00020409"/>
    <w:rsid w:val="0002049A"/>
    <w:rsid w:val="00020A23"/>
    <w:rsid w:val="00020B1E"/>
    <w:rsid w:val="00020FE6"/>
    <w:rsid w:val="00021085"/>
    <w:rsid w:val="00021207"/>
    <w:rsid w:val="00021282"/>
    <w:rsid w:val="00021380"/>
    <w:rsid w:val="000213E5"/>
    <w:rsid w:val="000217E8"/>
    <w:rsid w:val="00021892"/>
    <w:rsid w:val="00021A4F"/>
    <w:rsid w:val="00021AEE"/>
    <w:rsid w:val="00021B4F"/>
    <w:rsid w:val="00021C1C"/>
    <w:rsid w:val="00021D93"/>
    <w:rsid w:val="00021FF7"/>
    <w:rsid w:val="0002202C"/>
    <w:rsid w:val="00022116"/>
    <w:rsid w:val="0002211C"/>
    <w:rsid w:val="00022209"/>
    <w:rsid w:val="00022BF5"/>
    <w:rsid w:val="00023000"/>
    <w:rsid w:val="000230E0"/>
    <w:rsid w:val="00023206"/>
    <w:rsid w:val="00023231"/>
    <w:rsid w:val="0002345F"/>
    <w:rsid w:val="000234AF"/>
    <w:rsid w:val="00023A32"/>
    <w:rsid w:val="00023AFC"/>
    <w:rsid w:val="00023B7D"/>
    <w:rsid w:val="00023C0F"/>
    <w:rsid w:val="000240DD"/>
    <w:rsid w:val="000242C1"/>
    <w:rsid w:val="000243D9"/>
    <w:rsid w:val="0002464E"/>
    <w:rsid w:val="00024777"/>
    <w:rsid w:val="000248E7"/>
    <w:rsid w:val="00024B57"/>
    <w:rsid w:val="00024D2C"/>
    <w:rsid w:val="00024DD3"/>
    <w:rsid w:val="000250C0"/>
    <w:rsid w:val="0002510B"/>
    <w:rsid w:val="000251A6"/>
    <w:rsid w:val="00025382"/>
    <w:rsid w:val="0002553A"/>
    <w:rsid w:val="00025952"/>
    <w:rsid w:val="00025CCA"/>
    <w:rsid w:val="00025DFE"/>
    <w:rsid w:val="00025E7E"/>
    <w:rsid w:val="00025F10"/>
    <w:rsid w:val="00025F3F"/>
    <w:rsid w:val="000262EA"/>
    <w:rsid w:val="00026370"/>
    <w:rsid w:val="000265A4"/>
    <w:rsid w:val="00026640"/>
    <w:rsid w:val="0002682F"/>
    <w:rsid w:val="00026997"/>
    <w:rsid w:val="00026C18"/>
    <w:rsid w:val="00026D01"/>
    <w:rsid w:val="00026DBA"/>
    <w:rsid w:val="00026F44"/>
    <w:rsid w:val="000270CF"/>
    <w:rsid w:val="0002714B"/>
    <w:rsid w:val="000271BF"/>
    <w:rsid w:val="0002725B"/>
    <w:rsid w:val="000274E8"/>
    <w:rsid w:val="000275AD"/>
    <w:rsid w:val="000277AE"/>
    <w:rsid w:val="00027A0F"/>
    <w:rsid w:val="00027C72"/>
    <w:rsid w:val="00027D3F"/>
    <w:rsid w:val="0003024F"/>
    <w:rsid w:val="0003046D"/>
    <w:rsid w:val="0003055E"/>
    <w:rsid w:val="0003074F"/>
    <w:rsid w:val="00030776"/>
    <w:rsid w:val="0003093E"/>
    <w:rsid w:val="00030AF8"/>
    <w:rsid w:val="00030BD9"/>
    <w:rsid w:val="00030E33"/>
    <w:rsid w:val="00030EBA"/>
    <w:rsid w:val="00030F7E"/>
    <w:rsid w:val="00031073"/>
    <w:rsid w:val="0003141F"/>
    <w:rsid w:val="000314B9"/>
    <w:rsid w:val="000319EA"/>
    <w:rsid w:val="00031EA8"/>
    <w:rsid w:val="00031EFB"/>
    <w:rsid w:val="0003201C"/>
    <w:rsid w:val="0003220E"/>
    <w:rsid w:val="00032383"/>
    <w:rsid w:val="000324ED"/>
    <w:rsid w:val="0003261A"/>
    <w:rsid w:val="00032C0E"/>
    <w:rsid w:val="00032C14"/>
    <w:rsid w:val="00032F72"/>
    <w:rsid w:val="00032F84"/>
    <w:rsid w:val="00033264"/>
    <w:rsid w:val="00033279"/>
    <w:rsid w:val="000332EA"/>
    <w:rsid w:val="0003343B"/>
    <w:rsid w:val="000335EF"/>
    <w:rsid w:val="00033C79"/>
    <w:rsid w:val="00033CAE"/>
    <w:rsid w:val="00033D1A"/>
    <w:rsid w:val="00034170"/>
    <w:rsid w:val="00034243"/>
    <w:rsid w:val="0003430D"/>
    <w:rsid w:val="00034438"/>
    <w:rsid w:val="000344B4"/>
    <w:rsid w:val="00034547"/>
    <w:rsid w:val="0003483E"/>
    <w:rsid w:val="00034937"/>
    <w:rsid w:val="00034A25"/>
    <w:rsid w:val="00034AB9"/>
    <w:rsid w:val="00034CD4"/>
    <w:rsid w:val="00034D25"/>
    <w:rsid w:val="00034E02"/>
    <w:rsid w:val="0003528B"/>
    <w:rsid w:val="00035374"/>
    <w:rsid w:val="000353FC"/>
    <w:rsid w:val="00035663"/>
    <w:rsid w:val="00035821"/>
    <w:rsid w:val="0003587A"/>
    <w:rsid w:val="00035F27"/>
    <w:rsid w:val="000362AC"/>
    <w:rsid w:val="00036368"/>
    <w:rsid w:val="00036447"/>
    <w:rsid w:val="00036512"/>
    <w:rsid w:val="00036516"/>
    <w:rsid w:val="00036575"/>
    <w:rsid w:val="0003660D"/>
    <w:rsid w:val="0003666F"/>
    <w:rsid w:val="00036852"/>
    <w:rsid w:val="000369B7"/>
    <w:rsid w:val="000369E7"/>
    <w:rsid w:val="00036BB3"/>
    <w:rsid w:val="00036C0B"/>
    <w:rsid w:val="00037132"/>
    <w:rsid w:val="000371E1"/>
    <w:rsid w:val="00037247"/>
    <w:rsid w:val="0003743E"/>
    <w:rsid w:val="0003745D"/>
    <w:rsid w:val="00037555"/>
    <w:rsid w:val="0003765A"/>
    <w:rsid w:val="000376A5"/>
    <w:rsid w:val="000376C4"/>
    <w:rsid w:val="0003779B"/>
    <w:rsid w:val="0003785A"/>
    <w:rsid w:val="00037946"/>
    <w:rsid w:val="00037CBC"/>
    <w:rsid w:val="000401E4"/>
    <w:rsid w:val="0004072E"/>
    <w:rsid w:val="000407FE"/>
    <w:rsid w:val="000408C9"/>
    <w:rsid w:val="000408F2"/>
    <w:rsid w:val="00040AB2"/>
    <w:rsid w:val="00040ADF"/>
    <w:rsid w:val="00040B6E"/>
    <w:rsid w:val="00040D29"/>
    <w:rsid w:val="00040DAE"/>
    <w:rsid w:val="00040F82"/>
    <w:rsid w:val="00041054"/>
    <w:rsid w:val="000410EE"/>
    <w:rsid w:val="0004110F"/>
    <w:rsid w:val="00041287"/>
    <w:rsid w:val="0004133A"/>
    <w:rsid w:val="00041398"/>
    <w:rsid w:val="00041428"/>
    <w:rsid w:val="0004181A"/>
    <w:rsid w:val="0004190D"/>
    <w:rsid w:val="00041AF5"/>
    <w:rsid w:val="00041C4B"/>
    <w:rsid w:val="00041D83"/>
    <w:rsid w:val="00041F05"/>
    <w:rsid w:val="00041F97"/>
    <w:rsid w:val="000425D3"/>
    <w:rsid w:val="000425E8"/>
    <w:rsid w:val="0004270B"/>
    <w:rsid w:val="00042926"/>
    <w:rsid w:val="00042AAC"/>
    <w:rsid w:val="00042B16"/>
    <w:rsid w:val="00042B2A"/>
    <w:rsid w:val="00042C79"/>
    <w:rsid w:val="00042D05"/>
    <w:rsid w:val="00042FE5"/>
    <w:rsid w:val="0004332B"/>
    <w:rsid w:val="000434B4"/>
    <w:rsid w:val="00043607"/>
    <w:rsid w:val="00043643"/>
    <w:rsid w:val="000436DE"/>
    <w:rsid w:val="00043752"/>
    <w:rsid w:val="000438D7"/>
    <w:rsid w:val="000438DA"/>
    <w:rsid w:val="00043960"/>
    <w:rsid w:val="000439E1"/>
    <w:rsid w:val="00043D3C"/>
    <w:rsid w:val="00043E9F"/>
    <w:rsid w:val="00043EE1"/>
    <w:rsid w:val="00044139"/>
    <w:rsid w:val="0004463A"/>
    <w:rsid w:val="000446CB"/>
    <w:rsid w:val="000446D5"/>
    <w:rsid w:val="000447A4"/>
    <w:rsid w:val="000447EF"/>
    <w:rsid w:val="000448E9"/>
    <w:rsid w:val="00044976"/>
    <w:rsid w:val="00044B7C"/>
    <w:rsid w:val="00044D8B"/>
    <w:rsid w:val="0004514B"/>
    <w:rsid w:val="000451DA"/>
    <w:rsid w:val="00045478"/>
    <w:rsid w:val="00045518"/>
    <w:rsid w:val="0004565E"/>
    <w:rsid w:val="0004578B"/>
    <w:rsid w:val="000457F1"/>
    <w:rsid w:val="00045A63"/>
    <w:rsid w:val="00045E28"/>
    <w:rsid w:val="00045E80"/>
    <w:rsid w:val="00046248"/>
    <w:rsid w:val="00046348"/>
    <w:rsid w:val="0004643B"/>
    <w:rsid w:val="000465F6"/>
    <w:rsid w:val="0004668E"/>
    <w:rsid w:val="000467E2"/>
    <w:rsid w:val="00046823"/>
    <w:rsid w:val="0004682F"/>
    <w:rsid w:val="00046840"/>
    <w:rsid w:val="00046A02"/>
    <w:rsid w:val="00046A25"/>
    <w:rsid w:val="00046ADF"/>
    <w:rsid w:val="00046B26"/>
    <w:rsid w:val="00046B88"/>
    <w:rsid w:val="00046B8D"/>
    <w:rsid w:val="00046C78"/>
    <w:rsid w:val="00046EAE"/>
    <w:rsid w:val="000472AB"/>
    <w:rsid w:val="00047482"/>
    <w:rsid w:val="0004757E"/>
    <w:rsid w:val="000475E9"/>
    <w:rsid w:val="00047711"/>
    <w:rsid w:val="00047986"/>
    <w:rsid w:val="00047BC6"/>
    <w:rsid w:val="00047CE4"/>
    <w:rsid w:val="00047D63"/>
    <w:rsid w:val="00050071"/>
    <w:rsid w:val="00050260"/>
    <w:rsid w:val="0005038C"/>
    <w:rsid w:val="000503DC"/>
    <w:rsid w:val="00050431"/>
    <w:rsid w:val="000504C6"/>
    <w:rsid w:val="0005063C"/>
    <w:rsid w:val="0005065F"/>
    <w:rsid w:val="00050745"/>
    <w:rsid w:val="0005083A"/>
    <w:rsid w:val="00050846"/>
    <w:rsid w:val="000508EB"/>
    <w:rsid w:val="000509E7"/>
    <w:rsid w:val="000509EA"/>
    <w:rsid w:val="00050A69"/>
    <w:rsid w:val="00050AC0"/>
    <w:rsid w:val="00050BED"/>
    <w:rsid w:val="00050E5D"/>
    <w:rsid w:val="00050EAC"/>
    <w:rsid w:val="00051091"/>
    <w:rsid w:val="00051113"/>
    <w:rsid w:val="00051225"/>
    <w:rsid w:val="000513F7"/>
    <w:rsid w:val="000516A7"/>
    <w:rsid w:val="0005171A"/>
    <w:rsid w:val="0005179A"/>
    <w:rsid w:val="000518F6"/>
    <w:rsid w:val="000519BC"/>
    <w:rsid w:val="00052085"/>
    <w:rsid w:val="000522B2"/>
    <w:rsid w:val="000523A2"/>
    <w:rsid w:val="00052494"/>
    <w:rsid w:val="000524DA"/>
    <w:rsid w:val="000524DE"/>
    <w:rsid w:val="00052582"/>
    <w:rsid w:val="000525C8"/>
    <w:rsid w:val="0005261C"/>
    <w:rsid w:val="00052787"/>
    <w:rsid w:val="000528FE"/>
    <w:rsid w:val="00052B77"/>
    <w:rsid w:val="00052BFB"/>
    <w:rsid w:val="00052CD0"/>
    <w:rsid w:val="00052F61"/>
    <w:rsid w:val="00052FE1"/>
    <w:rsid w:val="000536B6"/>
    <w:rsid w:val="0005372A"/>
    <w:rsid w:val="00053BD9"/>
    <w:rsid w:val="00053C99"/>
    <w:rsid w:val="00053D09"/>
    <w:rsid w:val="00053F23"/>
    <w:rsid w:val="0005411E"/>
    <w:rsid w:val="00054161"/>
    <w:rsid w:val="000544D9"/>
    <w:rsid w:val="00054748"/>
    <w:rsid w:val="0005474F"/>
    <w:rsid w:val="0005483F"/>
    <w:rsid w:val="00054D5B"/>
    <w:rsid w:val="00054DF1"/>
    <w:rsid w:val="00054E76"/>
    <w:rsid w:val="00054EF8"/>
    <w:rsid w:val="00054F5B"/>
    <w:rsid w:val="00055028"/>
    <w:rsid w:val="000551BD"/>
    <w:rsid w:val="0005528B"/>
    <w:rsid w:val="000553C5"/>
    <w:rsid w:val="000554D1"/>
    <w:rsid w:val="0005555B"/>
    <w:rsid w:val="000556DC"/>
    <w:rsid w:val="000557D0"/>
    <w:rsid w:val="0005584F"/>
    <w:rsid w:val="000558F1"/>
    <w:rsid w:val="00055CFD"/>
    <w:rsid w:val="00055EDA"/>
    <w:rsid w:val="00055F70"/>
    <w:rsid w:val="000560CB"/>
    <w:rsid w:val="00056287"/>
    <w:rsid w:val="000562FA"/>
    <w:rsid w:val="000563D4"/>
    <w:rsid w:val="00056522"/>
    <w:rsid w:val="00056608"/>
    <w:rsid w:val="00056A29"/>
    <w:rsid w:val="00056ADF"/>
    <w:rsid w:val="00056AF5"/>
    <w:rsid w:val="00056B99"/>
    <w:rsid w:val="00056D30"/>
    <w:rsid w:val="00056DF3"/>
    <w:rsid w:val="00056F09"/>
    <w:rsid w:val="000571EC"/>
    <w:rsid w:val="00057306"/>
    <w:rsid w:val="00057498"/>
    <w:rsid w:val="000574AA"/>
    <w:rsid w:val="00057521"/>
    <w:rsid w:val="00057543"/>
    <w:rsid w:val="000576E5"/>
    <w:rsid w:val="00057706"/>
    <w:rsid w:val="0005781C"/>
    <w:rsid w:val="00057981"/>
    <w:rsid w:val="00057993"/>
    <w:rsid w:val="00057A18"/>
    <w:rsid w:val="00057E36"/>
    <w:rsid w:val="00057E89"/>
    <w:rsid w:val="00060224"/>
    <w:rsid w:val="00060590"/>
    <w:rsid w:val="000606E5"/>
    <w:rsid w:val="00060743"/>
    <w:rsid w:val="00060745"/>
    <w:rsid w:val="000607BC"/>
    <w:rsid w:val="000607EC"/>
    <w:rsid w:val="00060884"/>
    <w:rsid w:val="00060B77"/>
    <w:rsid w:val="00060BCF"/>
    <w:rsid w:val="00060E37"/>
    <w:rsid w:val="00060FD2"/>
    <w:rsid w:val="00061313"/>
    <w:rsid w:val="00061533"/>
    <w:rsid w:val="0006177C"/>
    <w:rsid w:val="00061783"/>
    <w:rsid w:val="000618C3"/>
    <w:rsid w:val="00061A23"/>
    <w:rsid w:val="00061A97"/>
    <w:rsid w:val="00061B8A"/>
    <w:rsid w:val="00061CAB"/>
    <w:rsid w:val="00061D27"/>
    <w:rsid w:val="00061D5B"/>
    <w:rsid w:val="00062035"/>
    <w:rsid w:val="000620BD"/>
    <w:rsid w:val="00062314"/>
    <w:rsid w:val="000623DF"/>
    <w:rsid w:val="00062463"/>
    <w:rsid w:val="0006283E"/>
    <w:rsid w:val="000628BC"/>
    <w:rsid w:val="000628C4"/>
    <w:rsid w:val="00062919"/>
    <w:rsid w:val="000629CE"/>
    <w:rsid w:val="00062A2B"/>
    <w:rsid w:val="00062E1F"/>
    <w:rsid w:val="000630DE"/>
    <w:rsid w:val="000631C2"/>
    <w:rsid w:val="00063488"/>
    <w:rsid w:val="000634D1"/>
    <w:rsid w:val="00063606"/>
    <w:rsid w:val="000639FD"/>
    <w:rsid w:val="00063A0E"/>
    <w:rsid w:val="00063A11"/>
    <w:rsid w:val="00063B59"/>
    <w:rsid w:val="00063C40"/>
    <w:rsid w:val="00063D13"/>
    <w:rsid w:val="0006410B"/>
    <w:rsid w:val="00064194"/>
    <w:rsid w:val="000642DD"/>
    <w:rsid w:val="000644FB"/>
    <w:rsid w:val="0006450B"/>
    <w:rsid w:val="00064543"/>
    <w:rsid w:val="00064DC6"/>
    <w:rsid w:val="00064F06"/>
    <w:rsid w:val="00064F6C"/>
    <w:rsid w:val="00064FDA"/>
    <w:rsid w:val="00065077"/>
    <w:rsid w:val="000654C1"/>
    <w:rsid w:val="000656BB"/>
    <w:rsid w:val="0006577D"/>
    <w:rsid w:val="000657A6"/>
    <w:rsid w:val="00065BCF"/>
    <w:rsid w:val="00065C25"/>
    <w:rsid w:val="000661D2"/>
    <w:rsid w:val="000662BB"/>
    <w:rsid w:val="00066302"/>
    <w:rsid w:val="000663B3"/>
    <w:rsid w:val="000664E3"/>
    <w:rsid w:val="00066525"/>
    <w:rsid w:val="00066552"/>
    <w:rsid w:val="0006662C"/>
    <w:rsid w:val="00066640"/>
    <w:rsid w:val="00066671"/>
    <w:rsid w:val="00066705"/>
    <w:rsid w:val="00066996"/>
    <w:rsid w:val="00066B36"/>
    <w:rsid w:val="00066B4B"/>
    <w:rsid w:val="00066EEC"/>
    <w:rsid w:val="00067057"/>
    <w:rsid w:val="0006706B"/>
    <w:rsid w:val="0006707D"/>
    <w:rsid w:val="000672ED"/>
    <w:rsid w:val="00067333"/>
    <w:rsid w:val="0006735E"/>
    <w:rsid w:val="00067585"/>
    <w:rsid w:val="00067586"/>
    <w:rsid w:val="00067587"/>
    <w:rsid w:val="000678F4"/>
    <w:rsid w:val="00067BAA"/>
    <w:rsid w:val="00067C02"/>
    <w:rsid w:val="00067E97"/>
    <w:rsid w:val="00067F3B"/>
    <w:rsid w:val="00067FB6"/>
    <w:rsid w:val="00067FF0"/>
    <w:rsid w:val="000700F5"/>
    <w:rsid w:val="000702B3"/>
    <w:rsid w:val="000703E3"/>
    <w:rsid w:val="000703F3"/>
    <w:rsid w:val="0007045C"/>
    <w:rsid w:val="00070974"/>
    <w:rsid w:val="00070A54"/>
    <w:rsid w:val="00070A8A"/>
    <w:rsid w:val="00070B61"/>
    <w:rsid w:val="00070D43"/>
    <w:rsid w:val="00070DEB"/>
    <w:rsid w:val="00070EC5"/>
    <w:rsid w:val="00070F89"/>
    <w:rsid w:val="00070F9B"/>
    <w:rsid w:val="00070FFD"/>
    <w:rsid w:val="000712BF"/>
    <w:rsid w:val="0007134A"/>
    <w:rsid w:val="00071469"/>
    <w:rsid w:val="00071490"/>
    <w:rsid w:val="00071664"/>
    <w:rsid w:val="00071874"/>
    <w:rsid w:val="00071898"/>
    <w:rsid w:val="00071BE6"/>
    <w:rsid w:val="00071DA6"/>
    <w:rsid w:val="00071DE4"/>
    <w:rsid w:val="00071E1A"/>
    <w:rsid w:val="00071E1E"/>
    <w:rsid w:val="000720D7"/>
    <w:rsid w:val="0007212C"/>
    <w:rsid w:val="000721A0"/>
    <w:rsid w:val="00072350"/>
    <w:rsid w:val="0007278C"/>
    <w:rsid w:val="00072852"/>
    <w:rsid w:val="00072F6D"/>
    <w:rsid w:val="00073398"/>
    <w:rsid w:val="000734F9"/>
    <w:rsid w:val="00073684"/>
    <w:rsid w:val="00073744"/>
    <w:rsid w:val="0007377D"/>
    <w:rsid w:val="00073A8B"/>
    <w:rsid w:val="00073E9F"/>
    <w:rsid w:val="00073F3E"/>
    <w:rsid w:val="0007412C"/>
    <w:rsid w:val="000741CE"/>
    <w:rsid w:val="00074233"/>
    <w:rsid w:val="000742B6"/>
    <w:rsid w:val="0007430B"/>
    <w:rsid w:val="00074364"/>
    <w:rsid w:val="000743B6"/>
    <w:rsid w:val="000743C8"/>
    <w:rsid w:val="0007454A"/>
    <w:rsid w:val="0007476C"/>
    <w:rsid w:val="00074829"/>
    <w:rsid w:val="00074C38"/>
    <w:rsid w:val="00074DF2"/>
    <w:rsid w:val="00074E59"/>
    <w:rsid w:val="00074FFE"/>
    <w:rsid w:val="00075066"/>
    <w:rsid w:val="0007523E"/>
    <w:rsid w:val="0007546D"/>
    <w:rsid w:val="00075520"/>
    <w:rsid w:val="0007568E"/>
    <w:rsid w:val="00075A98"/>
    <w:rsid w:val="00075C1F"/>
    <w:rsid w:val="00075D55"/>
    <w:rsid w:val="00075E5A"/>
    <w:rsid w:val="00075EFB"/>
    <w:rsid w:val="00075F82"/>
    <w:rsid w:val="00076011"/>
    <w:rsid w:val="000761D6"/>
    <w:rsid w:val="00076366"/>
    <w:rsid w:val="00076389"/>
    <w:rsid w:val="00076696"/>
    <w:rsid w:val="000767E4"/>
    <w:rsid w:val="00076817"/>
    <w:rsid w:val="000768E9"/>
    <w:rsid w:val="000769AD"/>
    <w:rsid w:val="00076E2A"/>
    <w:rsid w:val="00076E9D"/>
    <w:rsid w:val="0007701A"/>
    <w:rsid w:val="00077030"/>
    <w:rsid w:val="000770DB"/>
    <w:rsid w:val="0007715F"/>
    <w:rsid w:val="00077297"/>
    <w:rsid w:val="00077303"/>
    <w:rsid w:val="00077371"/>
    <w:rsid w:val="0007741A"/>
    <w:rsid w:val="00077534"/>
    <w:rsid w:val="000776CA"/>
    <w:rsid w:val="00077800"/>
    <w:rsid w:val="00077819"/>
    <w:rsid w:val="000778DD"/>
    <w:rsid w:val="0007791A"/>
    <w:rsid w:val="00077CBD"/>
    <w:rsid w:val="00077CE0"/>
    <w:rsid w:val="00077EAB"/>
    <w:rsid w:val="00080091"/>
    <w:rsid w:val="000800C4"/>
    <w:rsid w:val="000800E7"/>
    <w:rsid w:val="000801AE"/>
    <w:rsid w:val="0008025E"/>
    <w:rsid w:val="000803E1"/>
    <w:rsid w:val="000804A9"/>
    <w:rsid w:val="000806E8"/>
    <w:rsid w:val="00080832"/>
    <w:rsid w:val="00080BB4"/>
    <w:rsid w:val="00080D57"/>
    <w:rsid w:val="00080DD7"/>
    <w:rsid w:val="00080F50"/>
    <w:rsid w:val="0008100B"/>
    <w:rsid w:val="0008110D"/>
    <w:rsid w:val="000811FB"/>
    <w:rsid w:val="000813C2"/>
    <w:rsid w:val="000813E1"/>
    <w:rsid w:val="0008173C"/>
    <w:rsid w:val="000818CA"/>
    <w:rsid w:val="000819B8"/>
    <w:rsid w:val="00081A98"/>
    <w:rsid w:val="00081B60"/>
    <w:rsid w:val="00081BEF"/>
    <w:rsid w:val="00081C78"/>
    <w:rsid w:val="00081D32"/>
    <w:rsid w:val="00081D8E"/>
    <w:rsid w:val="00081FDE"/>
    <w:rsid w:val="00082007"/>
    <w:rsid w:val="000820C8"/>
    <w:rsid w:val="00082189"/>
    <w:rsid w:val="0008228B"/>
    <w:rsid w:val="00082647"/>
    <w:rsid w:val="00082768"/>
    <w:rsid w:val="000829BB"/>
    <w:rsid w:val="00082A1D"/>
    <w:rsid w:val="00082A4E"/>
    <w:rsid w:val="00082B8D"/>
    <w:rsid w:val="00082F0D"/>
    <w:rsid w:val="00082F77"/>
    <w:rsid w:val="00082FCC"/>
    <w:rsid w:val="000832ED"/>
    <w:rsid w:val="0008330B"/>
    <w:rsid w:val="0008336B"/>
    <w:rsid w:val="00083397"/>
    <w:rsid w:val="000833D7"/>
    <w:rsid w:val="000833F9"/>
    <w:rsid w:val="000834DC"/>
    <w:rsid w:val="0008373B"/>
    <w:rsid w:val="0008383B"/>
    <w:rsid w:val="00083A21"/>
    <w:rsid w:val="00083A37"/>
    <w:rsid w:val="00083DD3"/>
    <w:rsid w:val="00083E50"/>
    <w:rsid w:val="00083FCC"/>
    <w:rsid w:val="00084193"/>
    <w:rsid w:val="00084281"/>
    <w:rsid w:val="000843E6"/>
    <w:rsid w:val="000845FD"/>
    <w:rsid w:val="00084632"/>
    <w:rsid w:val="0008468D"/>
    <w:rsid w:val="000848FE"/>
    <w:rsid w:val="00084996"/>
    <w:rsid w:val="00084B36"/>
    <w:rsid w:val="00084D04"/>
    <w:rsid w:val="00084E95"/>
    <w:rsid w:val="000851A2"/>
    <w:rsid w:val="00085360"/>
    <w:rsid w:val="0008538C"/>
    <w:rsid w:val="0008553B"/>
    <w:rsid w:val="00085552"/>
    <w:rsid w:val="00085630"/>
    <w:rsid w:val="00085749"/>
    <w:rsid w:val="00085850"/>
    <w:rsid w:val="0008585A"/>
    <w:rsid w:val="000859DC"/>
    <w:rsid w:val="00085A2C"/>
    <w:rsid w:val="00085CFB"/>
    <w:rsid w:val="00085E4C"/>
    <w:rsid w:val="00085F65"/>
    <w:rsid w:val="000860A5"/>
    <w:rsid w:val="000860AA"/>
    <w:rsid w:val="0008625E"/>
    <w:rsid w:val="0008633B"/>
    <w:rsid w:val="0008667F"/>
    <w:rsid w:val="000866B1"/>
    <w:rsid w:val="0008672C"/>
    <w:rsid w:val="00086A9C"/>
    <w:rsid w:val="00086D33"/>
    <w:rsid w:val="00087068"/>
    <w:rsid w:val="000870DA"/>
    <w:rsid w:val="000873A7"/>
    <w:rsid w:val="00087A30"/>
    <w:rsid w:val="00087BAB"/>
    <w:rsid w:val="00087CA8"/>
    <w:rsid w:val="00087DA1"/>
    <w:rsid w:val="000901A0"/>
    <w:rsid w:val="00090980"/>
    <w:rsid w:val="00090AAA"/>
    <w:rsid w:val="00090AD0"/>
    <w:rsid w:val="00090CA3"/>
    <w:rsid w:val="00090D09"/>
    <w:rsid w:val="00090DD8"/>
    <w:rsid w:val="00090F3E"/>
    <w:rsid w:val="00091234"/>
    <w:rsid w:val="0009156C"/>
    <w:rsid w:val="000918A1"/>
    <w:rsid w:val="000919A5"/>
    <w:rsid w:val="00091D75"/>
    <w:rsid w:val="00091DCF"/>
    <w:rsid w:val="00091E63"/>
    <w:rsid w:val="00091EE3"/>
    <w:rsid w:val="00092163"/>
    <w:rsid w:val="0009224B"/>
    <w:rsid w:val="00092292"/>
    <w:rsid w:val="00092635"/>
    <w:rsid w:val="000927D8"/>
    <w:rsid w:val="00092832"/>
    <w:rsid w:val="00092912"/>
    <w:rsid w:val="000929A3"/>
    <w:rsid w:val="000929F3"/>
    <w:rsid w:val="00092DD7"/>
    <w:rsid w:val="00092E21"/>
    <w:rsid w:val="00092E82"/>
    <w:rsid w:val="00092EC6"/>
    <w:rsid w:val="000930BF"/>
    <w:rsid w:val="0009319B"/>
    <w:rsid w:val="000931BD"/>
    <w:rsid w:val="0009320A"/>
    <w:rsid w:val="000932F1"/>
    <w:rsid w:val="00093624"/>
    <w:rsid w:val="0009368D"/>
    <w:rsid w:val="000937E2"/>
    <w:rsid w:val="0009381F"/>
    <w:rsid w:val="00093AA8"/>
    <w:rsid w:val="00093ACC"/>
    <w:rsid w:val="00093B5E"/>
    <w:rsid w:val="00093BAD"/>
    <w:rsid w:val="00094039"/>
    <w:rsid w:val="00094240"/>
    <w:rsid w:val="00094313"/>
    <w:rsid w:val="000944AD"/>
    <w:rsid w:val="00094526"/>
    <w:rsid w:val="000945D6"/>
    <w:rsid w:val="00094644"/>
    <w:rsid w:val="00094708"/>
    <w:rsid w:val="000947E2"/>
    <w:rsid w:val="00094876"/>
    <w:rsid w:val="0009489C"/>
    <w:rsid w:val="0009492B"/>
    <w:rsid w:val="00094AC1"/>
    <w:rsid w:val="00094B39"/>
    <w:rsid w:val="00094B4D"/>
    <w:rsid w:val="00094D76"/>
    <w:rsid w:val="00094EC2"/>
    <w:rsid w:val="00094F8E"/>
    <w:rsid w:val="00094FCB"/>
    <w:rsid w:val="00095562"/>
    <w:rsid w:val="0009574B"/>
    <w:rsid w:val="0009577A"/>
    <w:rsid w:val="000957A0"/>
    <w:rsid w:val="000957DB"/>
    <w:rsid w:val="00095804"/>
    <w:rsid w:val="0009598E"/>
    <w:rsid w:val="00095BCE"/>
    <w:rsid w:val="0009600E"/>
    <w:rsid w:val="00096059"/>
    <w:rsid w:val="000961FA"/>
    <w:rsid w:val="00096229"/>
    <w:rsid w:val="0009636A"/>
    <w:rsid w:val="000963D4"/>
    <w:rsid w:val="0009647A"/>
    <w:rsid w:val="000965A3"/>
    <w:rsid w:val="000966A0"/>
    <w:rsid w:val="000966AA"/>
    <w:rsid w:val="00096A60"/>
    <w:rsid w:val="00096B64"/>
    <w:rsid w:val="00096B87"/>
    <w:rsid w:val="00096CDE"/>
    <w:rsid w:val="00096E2F"/>
    <w:rsid w:val="00096F05"/>
    <w:rsid w:val="0009711A"/>
    <w:rsid w:val="00097176"/>
    <w:rsid w:val="000971C0"/>
    <w:rsid w:val="000972D9"/>
    <w:rsid w:val="0009752A"/>
    <w:rsid w:val="00097767"/>
    <w:rsid w:val="00097915"/>
    <w:rsid w:val="000A062D"/>
    <w:rsid w:val="000A06D5"/>
    <w:rsid w:val="000A0812"/>
    <w:rsid w:val="000A0941"/>
    <w:rsid w:val="000A095D"/>
    <w:rsid w:val="000A09AA"/>
    <w:rsid w:val="000A0DC3"/>
    <w:rsid w:val="000A0E46"/>
    <w:rsid w:val="000A0E73"/>
    <w:rsid w:val="000A11DF"/>
    <w:rsid w:val="000A12E3"/>
    <w:rsid w:val="000A1673"/>
    <w:rsid w:val="000A18BA"/>
    <w:rsid w:val="000A1BA9"/>
    <w:rsid w:val="000A1BE4"/>
    <w:rsid w:val="000A1BEF"/>
    <w:rsid w:val="000A1FCE"/>
    <w:rsid w:val="000A1FDB"/>
    <w:rsid w:val="000A2123"/>
    <w:rsid w:val="000A2295"/>
    <w:rsid w:val="000A2301"/>
    <w:rsid w:val="000A26CD"/>
    <w:rsid w:val="000A2719"/>
    <w:rsid w:val="000A2735"/>
    <w:rsid w:val="000A27E8"/>
    <w:rsid w:val="000A2936"/>
    <w:rsid w:val="000A295D"/>
    <w:rsid w:val="000A2CA3"/>
    <w:rsid w:val="000A2D00"/>
    <w:rsid w:val="000A2FE8"/>
    <w:rsid w:val="000A3395"/>
    <w:rsid w:val="000A3491"/>
    <w:rsid w:val="000A389B"/>
    <w:rsid w:val="000A38D1"/>
    <w:rsid w:val="000A3AD3"/>
    <w:rsid w:val="000A3AF4"/>
    <w:rsid w:val="000A3BF1"/>
    <w:rsid w:val="000A3FAF"/>
    <w:rsid w:val="000A4006"/>
    <w:rsid w:val="000A4008"/>
    <w:rsid w:val="000A40E4"/>
    <w:rsid w:val="000A416F"/>
    <w:rsid w:val="000A4245"/>
    <w:rsid w:val="000A4431"/>
    <w:rsid w:val="000A44DA"/>
    <w:rsid w:val="000A45C3"/>
    <w:rsid w:val="000A489D"/>
    <w:rsid w:val="000A4BBE"/>
    <w:rsid w:val="000A4C4C"/>
    <w:rsid w:val="000A4C9F"/>
    <w:rsid w:val="000A4CC9"/>
    <w:rsid w:val="000A57DD"/>
    <w:rsid w:val="000A57FA"/>
    <w:rsid w:val="000A58A2"/>
    <w:rsid w:val="000A5B42"/>
    <w:rsid w:val="000A5D90"/>
    <w:rsid w:val="000A61E1"/>
    <w:rsid w:val="000A61E9"/>
    <w:rsid w:val="000A6308"/>
    <w:rsid w:val="000A630E"/>
    <w:rsid w:val="000A641D"/>
    <w:rsid w:val="000A6492"/>
    <w:rsid w:val="000A65DD"/>
    <w:rsid w:val="000A65EE"/>
    <w:rsid w:val="000A6692"/>
    <w:rsid w:val="000A66DF"/>
    <w:rsid w:val="000A677C"/>
    <w:rsid w:val="000A6ACF"/>
    <w:rsid w:val="000A6E28"/>
    <w:rsid w:val="000A6EA0"/>
    <w:rsid w:val="000A7017"/>
    <w:rsid w:val="000A72B4"/>
    <w:rsid w:val="000A734C"/>
    <w:rsid w:val="000A7372"/>
    <w:rsid w:val="000A73B0"/>
    <w:rsid w:val="000A780B"/>
    <w:rsid w:val="000A799E"/>
    <w:rsid w:val="000A79CE"/>
    <w:rsid w:val="000A7A7E"/>
    <w:rsid w:val="000A7CCC"/>
    <w:rsid w:val="000A7FCB"/>
    <w:rsid w:val="000B00F5"/>
    <w:rsid w:val="000B024B"/>
    <w:rsid w:val="000B025F"/>
    <w:rsid w:val="000B038E"/>
    <w:rsid w:val="000B03D0"/>
    <w:rsid w:val="000B07DF"/>
    <w:rsid w:val="000B0AAF"/>
    <w:rsid w:val="000B0CEC"/>
    <w:rsid w:val="000B1325"/>
    <w:rsid w:val="000B1415"/>
    <w:rsid w:val="000B151B"/>
    <w:rsid w:val="000B17FD"/>
    <w:rsid w:val="000B1888"/>
    <w:rsid w:val="000B1BD4"/>
    <w:rsid w:val="000B1CC3"/>
    <w:rsid w:val="000B1DC3"/>
    <w:rsid w:val="000B1E59"/>
    <w:rsid w:val="000B20C0"/>
    <w:rsid w:val="000B20F0"/>
    <w:rsid w:val="000B255D"/>
    <w:rsid w:val="000B25B3"/>
    <w:rsid w:val="000B2611"/>
    <w:rsid w:val="000B2633"/>
    <w:rsid w:val="000B276B"/>
    <w:rsid w:val="000B2AB1"/>
    <w:rsid w:val="000B2B85"/>
    <w:rsid w:val="000B2D20"/>
    <w:rsid w:val="000B2D7D"/>
    <w:rsid w:val="000B2E95"/>
    <w:rsid w:val="000B2F53"/>
    <w:rsid w:val="000B303A"/>
    <w:rsid w:val="000B307E"/>
    <w:rsid w:val="000B31EC"/>
    <w:rsid w:val="000B32BC"/>
    <w:rsid w:val="000B33B6"/>
    <w:rsid w:val="000B350E"/>
    <w:rsid w:val="000B351C"/>
    <w:rsid w:val="000B380C"/>
    <w:rsid w:val="000B3CEA"/>
    <w:rsid w:val="000B3E14"/>
    <w:rsid w:val="000B3EDA"/>
    <w:rsid w:val="000B41B5"/>
    <w:rsid w:val="000B457D"/>
    <w:rsid w:val="000B4671"/>
    <w:rsid w:val="000B46EF"/>
    <w:rsid w:val="000B47C0"/>
    <w:rsid w:val="000B4878"/>
    <w:rsid w:val="000B48E7"/>
    <w:rsid w:val="000B48F3"/>
    <w:rsid w:val="000B49C1"/>
    <w:rsid w:val="000B4A36"/>
    <w:rsid w:val="000B4B22"/>
    <w:rsid w:val="000B4BD9"/>
    <w:rsid w:val="000B4D0B"/>
    <w:rsid w:val="000B4E21"/>
    <w:rsid w:val="000B4E33"/>
    <w:rsid w:val="000B4E56"/>
    <w:rsid w:val="000B4F56"/>
    <w:rsid w:val="000B4F5B"/>
    <w:rsid w:val="000B503A"/>
    <w:rsid w:val="000B5041"/>
    <w:rsid w:val="000B533B"/>
    <w:rsid w:val="000B558C"/>
    <w:rsid w:val="000B5706"/>
    <w:rsid w:val="000B5889"/>
    <w:rsid w:val="000B5B76"/>
    <w:rsid w:val="000B5C19"/>
    <w:rsid w:val="000B5C89"/>
    <w:rsid w:val="000B5D68"/>
    <w:rsid w:val="000B5DE1"/>
    <w:rsid w:val="000B5E83"/>
    <w:rsid w:val="000B5F59"/>
    <w:rsid w:val="000B60CB"/>
    <w:rsid w:val="000B65E9"/>
    <w:rsid w:val="000B6B4D"/>
    <w:rsid w:val="000B6BD1"/>
    <w:rsid w:val="000B6CD8"/>
    <w:rsid w:val="000B6EC0"/>
    <w:rsid w:val="000B70D6"/>
    <w:rsid w:val="000B70FC"/>
    <w:rsid w:val="000B73CB"/>
    <w:rsid w:val="000B73DF"/>
    <w:rsid w:val="000B7516"/>
    <w:rsid w:val="000B754B"/>
    <w:rsid w:val="000B769C"/>
    <w:rsid w:val="000B77DB"/>
    <w:rsid w:val="000B78AC"/>
    <w:rsid w:val="000B78EB"/>
    <w:rsid w:val="000B7AB0"/>
    <w:rsid w:val="000B7B4F"/>
    <w:rsid w:val="000B7BE9"/>
    <w:rsid w:val="000B7E06"/>
    <w:rsid w:val="000B7E72"/>
    <w:rsid w:val="000B7F05"/>
    <w:rsid w:val="000C0080"/>
    <w:rsid w:val="000C02BC"/>
    <w:rsid w:val="000C05DA"/>
    <w:rsid w:val="000C06AC"/>
    <w:rsid w:val="000C06D0"/>
    <w:rsid w:val="000C070E"/>
    <w:rsid w:val="000C0866"/>
    <w:rsid w:val="000C0A52"/>
    <w:rsid w:val="000C0B08"/>
    <w:rsid w:val="000C0B3A"/>
    <w:rsid w:val="000C0C09"/>
    <w:rsid w:val="000C0CCF"/>
    <w:rsid w:val="000C0DD5"/>
    <w:rsid w:val="000C0EB6"/>
    <w:rsid w:val="000C103F"/>
    <w:rsid w:val="000C1217"/>
    <w:rsid w:val="000C132B"/>
    <w:rsid w:val="000C1654"/>
    <w:rsid w:val="000C18A1"/>
    <w:rsid w:val="000C18F0"/>
    <w:rsid w:val="000C19DF"/>
    <w:rsid w:val="000C1A0D"/>
    <w:rsid w:val="000C1C8E"/>
    <w:rsid w:val="000C1CAB"/>
    <w:rsid w:val="000C2224"/>
    <w:rsid w:val="000C25BC"/>
    <w:rsid w:val="000C2725"/>
    <w:rsid w:val="000C28F9"/>
    <w:rsid w:val="000C2A27"/>
    <w:rsid w:val="000C2B38"/>
    <w:rsid w:val="000C2C6E"/>
    <w:rsid w:val="000C2D20"/>
    <w:rsid w:val="000C3007"/>
    <w:rsid w:val="000C32AB"/>
    <w:rsid w:val="000C34B4"/>
    <w:rsid w:val="000C35F8"/>
    <w:rsid w:val="000C3865"/>
    <w:rsid w:val="000C3890"/>
    <w:rsid w:val="000C3A0E"/>
    <w:rsid w:val="000C3B1F"/>
    <w:rsid w:val="000C443D"/>
    <w:rsid w:val="000C468F"/>
    <w:rsid w:val="000C4A6E"/>
    <w:rsid w:val="000C4B2D"/>
    <w:rsid w:val="000C4B56"/>
    <w:rsid w:val="000C4C71"/>
    <w:rsid w:val="000C4C75"/>
    <w:rsid w:val="000C4CC9"/>
    <w:rsid w:val="000C4D07"/>
    <w:rsid w:val="000C4D5E"/>
    <w:rsid w:val="000C4E8C"/>
    <w:rsid w:val="000C4F5C"/>
    <w:rsid w:val="000C508A"/>
    <w:rsid w:val="000C50F6"/>
    <w:rsid w:val="000C5210"/>
    <w:rsid w:val="000C52FF"/>
    <w:rsid w:val="000C54F2"/>
    <w:rsid w:val="000C5527"/>
    <w:rsid w:val="000C55EE"/>
    <w:rsid w:val="000C560E"/>
    <w:rsid w:val="000C568A"/>
    <w:rsid w:val="000C579D"/>
    <w:rsid w:val="000C57BB"/>
    <w:rsid w:val="000C587E"/>
    <w:rsid w:val="000C58A2"/>
    <w:rsid w:val="000C5984"/>
    <w:rsid w:val="000C5A26"/>
    <w:rsid w:val="000C5BCB"/>
    <w:rsid w:val="000C5D97"/>
    <w:rsid w:val="000C5DDC"/>
    <w:rsid w:val="000C5F4D"/>
    <w:rsid w:val="000C6083"/>
    <w:rsid w:val="000C61B1"/>
    <w:rsid w:val="000C624C"/>
    <w:rsid w:val="000C6283"/>
    <w:rsid w:val="000C6618"/>
    <w:rsid w:val="000C6639"/>
    <w:rsid w:val="000C66FD"/>
    <w:rsid w:val="000C685F"/>
    <w:rsid w:val="000C6B45"/>
    <w:rsid w:val="000C6FC0"/>
    <w:rsid w:val="000C7169"/>
    <w:rsid w:val="000C7337"/>
    <w:rsid w:val="000C742A"/>
    <w:rsid w:val="000C7588"/>
    <w:rsid w:val="000C75AF"/>
    <w:rsid w:val="000C76AD"/>
    <w:rsid w:val="000C7C46"/>
    <w:rsid w:val="000C7FE2"/>
    <w:rsid w:val="000C7FEF"/>
    <w:rsid w:val="000D024D"/>
    <w:rsid w:val="000D0639"/>
    <w:rsid w:val="000D06D6"/>
    <w:rsid w:val="000D07CE"/>
    <w:rsid w:val="000D0FC0"/>
    <w:rsid w:val="000D1186"/>
    <w:rsid w:val="000D1465"/>
    <w:rsid w:val="000D16F6"/>
    <w:rsid w:val="000D1767"/>
    <w:rsid w:val="000D19C5"/>
    <w:rsid w:val="000D1B4B"/>
    <w:rsid w:val="000D1BCF"/>
    <w:rsid w:val="000D1C2E"/>
    <w:rsid w:val="000D1D18"/>
    <w:rsid w:val="000D1E03"/>
    <w:rsid w:val="000D2188"/>
    <w:rsid w:val="000D251B"/>
    <w:rsid w:val="000D264B"/>
    <w:rsid w:val="000D2756"/>
    <w:rsid w:val="000D293E"/>
    <w:rsid w:val="000D29CB"/>
    <w:rsid w:val="000D2C49"/>
    <w:rsid w:val="000D2D75"/>
    <w:rsid w:val="000D31A4"/>
    <w:rsid w:val="000D346E"/>
    <w:rsid w:val="000D35BA"/>
    <w:rsid w:val="000D36D9"/>
    <w:rsid w:val="000D3A22"/>
    <w:rsid w:val="000D3A50"/>
    <w:rsid w:val="000D4043"/>
    <w:rsid w:val="000D40D3"/>
    <w:rsid w:val="000D41C4"/>
    <w:rsid w:val="000D4487"/>
    <w:rsid w:val="000D448A"/>
    <w:rsid w:val="000D44AE"/>
    <w:rsid w:val="000D47E3"/>
    <w:rsid w:val="000D4871"/>
    <w:rsid w:val="000D4974"/>
    <w:rsid w:val="000D49CB"/>
    <w:rsid w:val="000D49D6"/>
    <w:rsid w:val="000D4D97"/>
    <w:rsid w:val="000D4EBD"/>
    <w:rsid w:val="000D5104"/>
    <w:rsid w:val="000D51BB"/>
    <w:rsid w:val="000D5371"/>
    <w:rsid w:val="000D538E"/>
    <w:rsid w:val="000D5660"/>
    <w:rsid w:val="000D568D"/>
    <w:rsid w:val="000D5952"/>
    <w:rsid w:val="000D59EB"/>
    <w:rsid w:val="000D5AFD"/>
    <w:rsid w:val="000D5CCD"/>
    <w:rsid w:val="000D600E"/>
    <w:rsid w:val="000D60E0"/>
    <w:rsid w:val="000D6211"/>
    <w:rsid w:val="000D62BF"/>
    <w:rsid w:val="000D633A"/>
    <w:rsid w:val="000D6419"/>
    <w:rsid w:val="000D649C"/>
    <w:rsid w:val="000D65CA"/>
    <w:rsid w:val="000D665E"/>
    <w:rsid w:val="000D688E"/>
    <w:rsid w:val="000D6952"/>
    <w:rsid w:val="000D6AFA"/>
    <w:rsid w:val="000D6B71"/>
    <w:rsid w:val="000D6B8C"/>
    <w:rsid w:val="000D6CEA"/>
    <w:rsid w:val="000D6D98"/>
    <w:rsid w:val="000D6EFA"/>
    <w:rsid w:val="000D741E"/>
    <w:rsid w:val="000D75B9"/>
    <w:rsid w:val="000D7698"/>
    <w:rsid w:val="000D76E7"/>
    <w:rsid w:val="000D78D2"/>
    <w:rsid w:val="000D79F1"/>
    <w:rsid w:val="000D7A44"/>
    <w:rsid w:val="000D7CDE"/>
    <w:rsid w:val="000D7DC8"/>
    <w:rsid w:val="000D7EA4"/>
    <w:rsid w:val="000D7F4D"/>
    <w:rsid w:val="000E002B"/>
    <w:rsid w:val="000E0087"/>
    <w:rsid w:val="000E02DC"/>
    <w:rsid w:val="000E04F1"/>
    <w:rsid w:val="000E0697"/>
    <w:rsid w:val="000E0810"/>
    <w:rsid w:val="000E0882"/>
    <w:rsid w:val="000E0D03"/>
    <w:rsid w:val="000E0ED1"/>
    <w:rsid w:val="000E1041"/>
    <w:rsid w:val="000E108C"/>
    <w:rsid w:val="000E1291"/>
    <w:rsid w:val="000E12EA"/>
    <w:rsid w:val="000E144F"/>
    <w:rsid w:val="000E16CE"/>
    <w:rsid w:val="000E1E16"/>
    <w:rsid w:val="000E221F"/>
    <w:rsid w:val="000E23B8"/>
    <w:rsid w:val="000E23F6"/>
    <w:rsid w:val="000E241B"/>
    <w:rsid w:val="000E24EB"/>
    <w:rsid w:val="000E250D"/>
    <w:rsid w:val="000E2B61"/>
    <w:rsid w:val="000E2BDA"/>
    <w:rsid w:val="000E2C4D"/>
    <w:rsid w:val="000E2DB8"/>
    <w:rsid w:val="000E2DEC"/>
    <w:rsid w:val="000E31F5"/>
    <w:rsid w:val="000E32EC"/>
    <w:rsid w:val="000E345C"/>
    <w:rsid w:val="000E368D"/>
    <w:rsid w:val="000E36D8"/>
    <w:rsid w:val="000E38A7"/>
    <w:rsid w:val="000E3988"/>
    <w:rsid w:val="000E3C31"/>
    <w:rsid w:val="000E4066"/>
    <w:rsid w:val="000E4397"/>
    <w:rsid w:val="000E4B6A"/>
    <w:rsid w:val="000E4E87"/>
    <w:rsid w:val="000E4FF9"/>
    <w:rsid w:val="000E5271"/>
    <w:rsid w:val="000E5368"/>
    <w:rsid w:val="000E5497"/>
    <w:rsid w:val="000E5756"/>
    <w:rsid w:val="000E5B3B"/>
    <w:rsid w:val="000E5E69"/>
    <w:rsid w:val="000E5F22"/>
    <w:rsid w:val="000E602F"/>
    <w:rsid w:val="000E60E9"/>
    <w:rsid w:val="000E6126"/>
    <w:rsid w:val="000E619C"/>
    <w:rsid w:val="000E631F"/>
    <w:rsid w:val="000E646D"/>
    <w:rsid w:val="000E6570"/>
    <w:rsid w:val="000E65A3"/>
    <w:rsid w:val="000E65F2"/>
    <w:rsid w:val="000E6690"/>
    <w:rsid w:val="000E669F"/>
    <w:rsid w:val="000E6799"/>
    <w:rsid w:val="000E67D8"/>
    <w:rsid w:val="000E6B6C"/>
    <w:rsid w:val="000E6C49"/>
    <w:rsid w:val="000E6E0A"/>
    <w:rsid w:val="000E6EEB"/>
    <w:rsid w:val="000E70FF"/>
    <w:rsid w:val="000E7256"/>
    <w:rsid w:val="000E730E"/>
    <w:rsid w:val="000E7605"/>
    <w:rsid w:val="000E76A9"/>
    <w:rsid w:val="000E76E7"/>
    <w:rsid w:val="000E78F9"/>
    <w:rsid w:val="000E792F"/>
    <w:rsid w:val="000E79BA"/>
    <w:rsid w:val="000E79F3"/>
    <w:rsid w:val="000E7B34"/>
    <w:rsid w:val="000E7D29"/>
    <w:rsid w:val="000E7D8D"/>
    <w:rsid w:val="000E7F18"/>
    <w:rsid w:val="000E7F4A"/>
    <w:rsid w:val="000E7F92"/>
    <w:rsid w:val="000F0015"/>
    <w:rsid w:val="000F008B"/>
    <w:rsid w:val="000F02CD"/>
    <w:rsid w:val="000F034E"/>
    <w:rsid w:val="000F0512"/>
    <w:rsid w:val="000F06B0"/>
    <w:rsid w:val="000F0880"/>
    <w:rsid w:val="000F0DE0"/>
    <w:rsid w:val="000F0F5B"/>
    <w:rsid w:val="000F10F0"/>
    <w:rsid w:val="000F12E3"/>
    <w:rsid w:val="000F1459"/>
    <w:rsid w:val="000F1635"/>
    <w:rsid w:val="000F17A8"/>
    <w:rsid w:val="000F17FB"/>
    <w:rsid w:val="000F1991"/>
    <w:rsid w:val="000F1B82"/>
    <w:rsid w:val="000F1BEC"/>
    <w:rsid w:val="000F1BF4"/>
    <w:rsid w:val="000F1F6A"/>
    <w:rsid w:val="000F1FD8"/>
    <w:rsid w:val="000F2629"/>
    <w:rsid w:val="000F2716"/>
    <w:rsid w:val="000F2763"/>
    <w:rsid w:val="000F28F6"/>
    <w:rsid w:val="000F2A15"/>
    <w:rsid w:val="000F2A8F"/>
    <w:rsid w:val="000F2DC8"/>
    <w:rsid w:val="000F2E09"/>
    <w:rsid w:val="000F2FA2"/>
    <w:rsid w:val="000F309F"/>
    <w:rsid w:val="000F30DB"/>
    <w:rsid w:val="000F3186"/>
    <w:rsid w:val="000F319E"/>
    <w:rsid w:val="000F3328"/>
    <w:rsid w:val="000F3330"/>
    <w:rsid w:val="000F358F"/>
    <w:rsid w:val="000F37A4"/>
    <w:rsid w:val="000F3904"/>
    <w:rsid w:val="000F3944"/>
    <w:rsid w:val="000F3A35"/>
    <w:rsid w:val="000F3BDE"/>
    <w:rsid w:val="000F3CA9"/>
    <w:rsid w:val="000F3DA1"/>
    <w:rsid w:val="000F3F49"/>
    <w:rsid w:val="000F3F51"/>
    <w:rsid w:val="000F3F67"/>
    <w:rsid w:val="000F42EA"/>
    <w:rsid w:val="000F46FB"/>
    <w:rsid w:val="000F48BA"/>
    <w:rsid w:val="000F48DD"/>
    <w:rsid w:val="000F497B"/>
    <w:rsid w:val="000F4BAD"/>
    <w:rsid w:val="000F4C7D"/>
    <w:rsid w:val="000F4F9F"/>
    <w:rsid w:val="000F5499"/>
    <w:rsid w:val="000F5521"/>
    <w:rsid w:val="000F5563"/>
    <w:rsid w:val="000F565E"/>
    <w:rsid w:val="000F5A14"/>
    <w:rsid w:val="000F5BFE"/>
    <w:rsid w:val="000F5CBF"/>
    <w:rsid w:val="000F5E99"/>
    <w:rsid w:val="000F5FC4"/>
    <w:rsid w:val="000F6023"/>
    <w:rsid w:val="000F6183"/>
    <w:rsid w:val="000F64C5"/>
    <w:rsid w:val="000F6DBE"/>
    <w:rsid w:val="000F6EB0"/>
    <w:rsid w:val="000F6F30"/>
    <w:rsid w:val="000F7180"/>
    <w:rsid w:val="000F735F"/>
    <w:rsid w:val="000F73FA"/>
    <w:rsid w:val="000F7484"/>
    <w:rsid w:val="000F750C"/>
    <w:rsid w:val="000F761A"/>
    <w:rsid w:val="000F7686"/>
    <w:rsid w:val="000F7BE9"/>
    <w:rsid w:val="000F7FC5"/>
    <w:rsid w:val="000FD054"/>
    <w:rsid w:val="00100066"/>
    <w:rsid w:val="001000BB"/>
    <w:rsid w:val="00100322"/>
    <w:rsid w:val="0010033D"/>
    <w:rsid w:val="001004C8"/>
    <w:rsid w:val="00100532"/>
    <w:rsid w:val="00100727"/>
    <w:rsid w:val="0010073D"/>
    <w:rsid w:val="001009C6"/>
    <w:rsid w:val="00100C88"/>
    <w:rsid w:val="00100FCB"/>
    <w:rsid w:val="00101101"/>
    <w:rsid w:val="00101206"/>
    <w:rsid w:val="001012B0"/>
    <w:rsid w:val="001012C2"/>
    <w:rsid w:val="001013CB"/>
    <w:rsid w:val="00101443"/>
    <w:rsid w:val="0010178B"/>
    <w:rsid w:val="0010180D"/>
    <w:rsid w:val="00101902"/>
    <w:rsid w:val="0010198B"/>
    <w:rsid w:val="001019DC"/>
    <w:rsid w:val="00101A9B"/>
    <w:rsid w:val="00101B18"/>
    <w:rsid w:val="00101B4E"/>
    <w:rsid w:val="00101BEE"/>
    <w:rsid w:val="00101C26"/>
    <w:rsid w:val="00101E92"/>
    <w:rsid w:val="00101F44"/>
    <w:rsid w:val="0010213D"/>
    <w:rsid w:val="0010233A"/>
    <w:rsid w:val="001026C3"/>
    <w:rsid w:val="001026D1"/>
    <w:rsid w:val="00102994"/>
    <w:rsid w:val="0010299D"/>
    <w:rsid w:val="00102A70"/>
    <w:rsid w:val="00102C97"/>
    <w:rsid w:val="00102D0D"/>
    <w:rsid w:val="00102EA5"/>
    <w:rsid w:val="0010318A"/>
    <w:rsid w:val="0010329F"/>
    <w:rsid w:val="001033B4"/>
    <w:rsid w:val="0010350A"/>
    <w:rsid w:val="001036A1"/>
    <w:rsid w:val="00103716"/>
    <w:rsid w:val="00103810"/>
    <w:rsid w:val="00103972"/>
    <w:rsid w:val="001039F4"/>
    <w:rsid w:val="00103AE5"/>
    <w:rsid w:val="00103CD3"/>
    <w:rsid w:val="00103D64"/>
    <w:rsid w:val="00103DBF"/>
    <w:rsid w:val="00103F95"/>
    <w:rsid w:val="00104183"/>
    <w:rsid w:val="0010434D"/>
    <w:rsid w:val="001045CE"/>
    <w:rsid w:val="001045E2"/>
    <w:rsid w:val="0010480C"/>
    <w:rsid w:val="001048ED"/>
    <w:rsid w:val="00104929"/>
    <w:rsid w:val="00104AD5"/>
    <w:rsid w:val="00104AF3"/>
    <w:rsid w:val="00104B10"/>
    <w:rsid w:val="00104D17"/>
    <w:rsid w:val="00104D8F"/>
    <w:rsid w:val="00105190"/>
    <w:rsid w:val="001052EA"/>
    <w:rsid w:val="001054F8"/>
    <w:rsid w:val="00105634"/>
    <w:rsid w:val="00105709"/>
    <w:rsid w:val="00105981"/>
    <w:rsid w:val="00105A46"/>
    <w:rsid w:val="00105ACB"/>
    <w:rsid w:val="00105C49"/>
    <w:rsid w:val="00105DA0"/>
    <w:rsid w:val="001061A7"/>
    <w:rsid w:val="0010622F"/>
    <w:rsid w:val="00106353"/>
    <w:rsid w:val="00106560"/>
    <w:rsid w:val="00106665"/>
    <w:rsid w:val="0010668D"/>
    <w:rsid w:val="001069A4"/>
    <w:rsid w:val="00106B43"/>
    <w:rsid w:val="00106BF6"/>
    <w:rsid w:val="00106D00"/>
    <w:rsid w:val="00106E6F"/>
    <w:rsid w:val="001070D9"/>
    <w:rsid w:val="00107114"/>
    <w:rsid w:val="001071AA"/>
    <w:rsid w:val="00107433"/>
    <w:rsid w:val="0010751D"/>
    <w:rsid w:val="001076CE"/>
    <w:rsid w:val="00107733"/>
    <w:rsid w:val="00107764"/>
    <w:rsid w:val="001077D1"/>
    <w:rsid w:val="00107893"/>
    <w:rsid w:val="001078F5"/>
    <w:rsid w:val="00107B35"/>
    <w:rsid w:val="00107C4B"/>
    <w:rsid w:val="00107E1E"/>
    <w:rsid w:val="00107E68"/>
    <w:rsid w:val="001101D2"/>
    <w:rsid w:val="0011041F"/>
    <w:rsid w:val="001104DC"/>
    <w:rsid w:val="00110546"/>
    <w:rsid w:val="00110550"/>
    <w:rsid w:val="00110772"/>
    <w:rsid w:val="0011089C"/>
    <w:rsid w:val="0011090A"/>
    <w:rsid w:val="001109F2"/>
    <w:rsid w:val="00110A4D"/>
    <w:rsid w:val="00110BEC"/>
    <w:rsid w:val="00110CDE"/>
    <w:rsid w:val="00110E0C"/>
    <w:rsid w:val="00110E86"/>
    <w:rsid w:val="00110EE7"/>
    <w:rsid w:val="0011113B"/>
    <w:rsid w:val="0011124E"/>
    <w:rsid w:val="00111378"/>
    <w:rsid w:val="00111491"/>
    <w:rsid w:val="001115A7"/>
    <w:rsid w:val="00111871"/>
    <w:rsid w:val="001118B4"/>
    <w:rsid w:val="00111997"/>
    <w:rsid w:val="001119A0"/>
    <w:rsid w:val="001119D6"/>
    <w:rsid w:val="001119EF"/>
    <w:rsid w:val="00111B12"/>
    <w:rsid w:val="00111C98"/>
    <w:rsid w:val="00111D0E"/>
    <w:rsid w:val="00111D50"/>
    <w:rsid w:val="00111DF2"/>
    <w:rsid w:val="00111F5C"/>
    <w:rsid w:val="001121A2"/>
    <w:rsid w:val="00112291"/>
    <w:rsid w:val="001123BD"/>
    <w:rsid w:val="00112718"/>
    <w:rsid w:val="00112839"/>
    <w:rsid w:val="001129D7"/>
    <w:rsid w:val="00112D35"/>
    <w:rsid w:val="00112E20"/>
    <w:rsid w:val="00112E38"/>
    <w:rsid w:val="00112E57"/>
    <w:rsid w:val="00112F12"/>
    <w:rsid w:val="00112FB7"/>
    <w:rsid w:val="001132C5"/>
    <w:rsid w:val="00113361"/>
    <w:rsid w:val="0011354C"/>
    <w:rsid w:val="001135BB"/>
    <w:rsid w:val="001136B5"/>
    <w:rsid w:val="001137A0"/>
    <w:rsid w:val="00113A54"/>
    <w:rsid w:val="00113BCB"/>
    <w:rsid w:val="00113D34"/>
    <w:rsid w:val="0011430A"/>
    <w:rsid w:val="001143DB"/>
    <w:rsid w:val="00114751"/>
    <w:rsid w:val="00114822"/>
    <w:rsid w:val="0011488E"/>
    <w:rsid w:val="00114B50"/>
    <w:rsid w:val="00114BC3"/>
    <w:rsid w:val="00114C64"/>
    <w:rsid w:val="00114E45"/>
    <w:rsid w:val="00114E88"/>
    <w:rsid w:val="00114EC0"/>
    <w:rsid w:val="00114FE5"/>
    <w:rsid w:val="001151A7"/>
    <w:rsid w:val="00115243"/>
    <w:rsid w:val="00115769"/>
    <w:rsid w:val="0011580E"/>
    <w:rsid w:val="00115B3E"/>
    <w:rsid w:val="00115B8D"/>
    <w:rsid w:val="00115C70"/>
    <w:rsid w:val="00115D99"/>
    <w:rsid w:val="001161DC"/>
    <w:rsid w:val="00116515"/>
    <w:rsid w:val="001165F6"/>
    <w:rsid w:val="001169FE"/>
    <w:rsid w:val="00116A56"/>
    <w:rsid w:val="00116AB2"/>
    <w:rsid w:val="00116D4A"/>
    <w:rsid w:val="00116E84"/>
    <w:rsid w:val="001172B6"/>
    <w:rsid w:val="001172D9"/>
    <w:rsid w:val="0011736E"/>
    <w:rsid w:val="001174C3"/>
    <w:rsid w:val="001176A3"/>
    <w:rsid w:val="001177FE"/>
    <w:rsid w:val="00117833"/>
    <w:rsid w:val="00117974"/>
    <w:rsid w:val="00117A44"/>
    <w:rsid w:val="00117AC2"/>
    <w:rsid w:val="00117BC1"/>
    <w:rsid w:val="00117C91"/>
    <w:rsid w:val="00120080"/>
    <w:rsid w:val="001200D6"/>
    <w:rsid w:val="001202D3"/>
    <w:rsid w:val="0012042B"/>
    <w:rsid w:val="00120705"/>
    <w:rsid w:val="00120874"/>
    <w:rsid w:val="00120877"/>
    <w:rsid w:val="001208E2"/>
    <w:rsid w:val="001209F0"/>
    <w:rsid w:val="00120E4B"/>
    <w:rsid w:val="00120EDB"/>
    <w:rsid w:val="00120EF2"/>
    <w:rsid w:val="00120FBE"/>
    <w:rsid w:val="001212F9"/>
    <w:rsid w:val="00121542"/>
    <w:rsid w:val="00121666"/>
    <w:rsid w:val="001218E2"/>
    <w:rsid w:val="00121B36"/>
    <w:rsid w:val="00121D29"/>
    <w:rsid w:val="00121F67"/>
    <w:rsid w:val="0012202B"/>
    <w:rsid w:val="00122053"/>
    <w:rsid w:val="001222D2"/>
    <w:rsid w:val="00122501"/>
    <w:rsid w:val="00122538"/>
    <w:rsid w:val="00122731"/>
    <w:rsid w:val="00122770"/>
    <w:rsid w:val="00122857"/>
    <w:rsid w:val="00122A81"/>
    <w:rsid w:val="00122C5F"/>
    <w:rsid w:val="00122D0A"/>
    <w:rsid w:val="00122D7A"/>
    <w:rsid w:val="00122E5E"/>
    <w:rsid w:val="001233A7"/>
    <w:rsid w:val="001233EC"/>
    <w:rsid w:val="001234D0"/>
    <w:rsid w:val="00123548"/>
    <w:rsid w:val="0012378F"/>
    <w:rsid w:val="0012389F"/>
    <w:rsid w:val="00123D28"/>
    <w:rsid w:val="00123D34"/>
    <w:rsid w:val="00123FC1"/>
    <w:rsid w:val="0012401C"/>
    <w:rsid w:val="00124096"/>
    <w:rsid w:val="00124273"/>
    <w:rsid w:val="00124379"/>
    <w:rsid w:val="00124501"/>
    <w:rsid w:val="001245B7"/>
    <w:rsid w:val="001246E6"/>
    <w:rsid w:val="00124AB8"/>
    <w:rsid w:val="00124AD6"/>
    <w:rsid w:val="00124BC5"/>
    <w:rsid w:val="00124C4C"/>
    <w:rsid w:val="00124C65"/>
    <w:rsid w:val="00125025"/>
    <w:rsid w:val="00125056"/>
    <w:rsid w:val="001251D2"/>
    <w:rsid w:val="001251DF"/>
    <w:rsid w:val="00125214"/>
    <w:rsid w:val="001252DA"/>
    <w:rsid w:val="001255A5"/>
    <w:rsid w:val="00125638"/>
    <w:rsid w:val="001256E0"/>
    <w:rsid w:val="00125846"/>
    <w:rsid w:val="001258A8"/>
    <w:rsid w:val="001259D5"/>
    <w:rsid w:val="00125AB8"/>
    <w:rsid w:val="00125E38"/>
    <w:rsid w:val="00125F81"/>
    <w:rsid w:val="001262F7"/>
    <w:rsid w:val="00126361"/>
    <w:rsid w:val="00126435"/>
    <w:rsid w:val="001267CE"/>
    <w:rsid w:val="00126927"/>
    <w:rsid w:val="00126BE9"/>
    <w:rsid w:val="00126CA7"/>
    <w:rsid w:val="00126DFE"/>
    <w:rsid w:val="00126EAA"/>
    <w:rsid w:val="00126F0F"/>
    <w:rsid w:val="0012745A"/>
    <w:rsid w:val="0012745F"/>
    <w:rsid w:val="001278D8"/>
    <w:rsid w:val="00127919"/>
    <w:rsid w:val="00127A64"/>
    <w:rsid w:val="00127A9F"/>
    <w:rsid w:val="00127B8B"/>
    <w:rsid w:val="00127BAC"/>
    <w:rsid w:val="00127BB6"/>
    <w:rsid w:val="00127C03"/>
    <w:rsid w:val="00127C98"/>
    <w:rsid w:val="00127F95"/>
    <w:rsid w:val="00127FCE"/>
    <w:rsid w:val="00130074"/>
    <w:rsid w:val="001301EE"/>
    <w:rsid w:val="00130525"/>
    <w:rsid w:val="001305B9"/>
    <w:rsid w:val="001305E0"/>
    <w:rsid w:val="00130708"/>
    <w:rsid w:val="00130712"/>
    <w:rsid w:val="00130844"/>
    <w:rsid w:val="001308FC"/>
    <w:rsid w:val="00130BEB"/>
    <w:rsid w:val="00130EC4"/>
    <w:rsid w:val="0013106C"/>
    <w:rsid w:val="00131256"/>
    <w:rsid w:val="001312C8"/>
    <w:rsid w:val="001313C5"/>
    <w:rsid w:val="001313D1"/>
    <w:rsid w:val="00131498"/>
    <w:rsid w:val="00131767"/>
    <w:rsid w:val="00131B39"/>
    <w:rsid w:val="00131CED"/>
    <w:rsid w:val="00131DFA"/>
    <w:rsid w:val="00131E79"/>
    <w:rsid w:val="00131F87"/>
    <w:rsid w:val="00131FD0"/>
    <w:rsid w:val="00132130"/>
    <w:rsid w:val="0013214E"/>
    <w:rsid w:val="00132614"/>
    <w:rsid w:val="0013263C"/>
    <w:rsid w:val="00132707"/>
    <w:rsid w:val="00132AC0"/>
    <w:rsid w:val="00132B40"/>
    <w:rsid w:val="00132E98"/>
    <w:rsid w:val="00133046"/>
    <w:rsid w:val="001331E0"/>
    <w:rsid w:val="001332C1"/>
    <w:rsid w:val="00133473"/>
    <w:rsid w:val="0013347E"/>
    <w:rsid w:val="00133594"/>
    <w:rsid w:val="00133637"/>
    <w:rsid w:val="001336BA"/>
    <w:rsid w:val="001337A9"/>
    <w:rsid w:val="0013386F"/>
    <w:rsid w:val="00133A9C"/>
    <w:rsid w:val="00133B20"/>
    <w:rsid w:val="00133B5E"/>
    <w:rsid w:val="00133CAF"/>
    <w:rsid w:val="00133CE2"/>
    <w:rsid w:val="00133DCB"/>
    <w:rsid w:val="00133E36"/>
    <w:rsid w:val="00133E6A"/>
    <w:rsid w:val="00134219"/>
    <w:rsid w:val="0013421A"/>
    <w:rsid w:val="00134239"/>
    <w:rsid w:val="001343E6"/>
    <w:rsid w:val="00134446"/>
    <w:rsid w:val="001347EB"/>
    <w:rsid w:val="001349F5"/>
    <w:rsid w:val="00134CB6"/>
    <w:rsid w:val="00134D2D"/>
    <w:rsid w:val="00134D46"/>
    <w:rsid w:val="00134E78"/>
    <w:rsid w:val="0013505F"/>
    <w:rsid w:val="001352D1"/>
    <w:rsid w:val="00135317"/>
    <w:rsid w:val="00135446"/>
    <w:rsid w:val="001354D6"/>
    <w:rsid w:val="001359C0"/>
    <w:rsid w:val="00135A0A"/>
    <w:rsid w:val="00135B54"/>
    <w:rsid w:val="00135D40"/>
    <w:rsid w:val="00135E27"/>
    <w:rsid w:val="00135F18"/>
    <w:rsid w:val="0013600A"/>
    <w:rsid w:val="0013610C"/>
    <w:rsid w:val="0013612A"/>
    <w:rsid w:val="0013637C"/>
    <w:rsid w:val="001364D1"/>
    <w:rsid w:val="001365B4"/>
    <w:rsid w:val="001366C1"/>
    <w:rsid w:val="001366D5"/>
    <w:rsid w:val="0013677D"/>
    <w:rsid w:val="001367F1"/>
    <w:rsid w:val="00136943"/>
    <w:rsid w:val="00136B04"/>
    <w:rsid w:val="00136D68"/>
    <w:rsid w:val="00136E0F"/>
    <w:rsid w:val="00136E32"/>
    <w:rsid w:val="00136F0B"/>
    <w:rsid w:val="0013739D"/>
    <w:rsid w:val="001374DF"/>
    <w:rsid w:val="001374ED"/>
    <w:rsid w:val="001376C6"/>
    <w:rsid w:val="00137A8B"/>
    <w:rsid w:val="00137BE1"/>
    <w:rsid w:val="00137E43"/>
    <w:rsid w:val="00137E6A"/>
    <w:rsid w:val="00137F7C"/>
    <w:rsid w:val="001400F3"/>
    <w:rsid w:val="00140276"/>
    <w:rsid w:val="001404FB"/>
    <w:rsid w:val="00140560"/>
    <w:rsid w:val="00140592"/>
    <w:rsid w:val="00140793"/>
    <w:rsid w:val="001407DF"/>
    <w:rsid w:val="0014095C"/>
    <w:rsid w:val="00140A0C"/>
    <w:rsid w:val="00140E56"/>
    <w:rsid w:val="00140E6A"/>
    <w:rsid w:val="00140FCA"/>
    <w:rsid w:val="00141134"/>
    <w:rsid w:val="0014113B"/>
    <w:rsid w:val="0014117D"/>
    <w:rsid w:val="00141239"/>
    <w:rsid w:val="0014126B"/>
    <w:rsid w:val="001415C5"/>
    <w:rsid w:val="00141737"/>
    <w:rsid w:val="0014195C"/>
    <w:rsid w:val="00141B19"/>
    <w:rsid w:val="0014219B"/>
    <w:rsid w:val="001422CD"/>
    <w:rsid w:val="001424CF"/>
    <w:rsid w:val="00142978"/>
    <w:rsid w:val="001429E3"/>
    <w:rsid w:val="00142A37"/>
    <w:rsid w:val="00142AFD"/>
    <w:rsid w:val="00142E0B"/>
    <w:rsid w:val="00142F79"/>
    <w:rsid w:val="0014316A"/>
    <w:rsid w:val="0014323F"/>
    <w:rsid w:val="001432C6"/>
    <w:rsid w:val="00143351"/>
    <w:rsid w:val="00143378"/>
    <w:rsid w:val="001433F1"/>
    <w:rsid w:val="00143487"/>
    <w:rsid w:val="001435E8"/>
    <w:rsid w:val="00143740"/>
    <w:rsid w:val="001439CB"/>
    <w:rsid w:val="00143A52"/>
    <w:rsid w:val="00143ADD"/>
    <w:rsid w:val="00143DC0"/>
    <w:rsid w:val="00143E91"/>
    <w:rsid w:val="00143EC8"/>
    <w:rsid w:val="00144024"/>
    <w:rsid w:val="00144144"/>
    <w:rsid w:val="00144247"/>
    <w:rsid w:val="00144331"/>
    <w:rsid w:val="001445D8"/>
    <w:rsid w:val="001445DC"/>
    <w:rsid w:val="001446B5"/>
    <w:rsid w:val="0014492D"/>
    <w:rsid w:val="00144AA6"/>
    <w:rsid w:val="00144C66"/>
    <w:rsid w:val="00144C97"/>
    <w:rsid w:val="00144D04"/>
    <w:rsid w:val="00144EF7"/>
    <w:rsid w:val="00144FFA"/>
    <w:rsid w:val="001450C6"/>
    <w:rsid w:val="001452E4"/>
    <w:rsid w:val="00145654"/>
    <w:rsid w:val="00145673"/>
    <w:rsid w:val="00145777"/>
    <w:rsid w:val="00145899"/>
    <w:rsid w:val="00145940"/>
    <w:rsid w:val="00145949"/>
    <w:rsid w:val="00145A27"/>
    <w:rsid w:val="00145C20"/>
    <w:rsid w:val="00145D0D"/>
    <w:rsid w:val="00145D74"/>
    <w:rsid w:val="00145E0C"/>
    <w:rsid w:val="00145E78"/>
    <w:rsid w:val="00145F2D"/>
    <w:rsid w:val="00145F2F"/>
    <w:rsid w:val="0014609B"/>
    <w:rsid w:val="00146264"/>
    <w:rsid w:val="0014630B"/>
    <w:rsid w:val="00146446"/>
    <w:rsid w:val="0014649C"/>
    <w:rsid w:val="001464AB"/>
    <w:rsid w:val="0014681E"/>
    <w:rsid w:val="00146870"/>
    <w:rsid w:val="00146B0D"/>
    <w:rsid w:val="00146B53"/>
    <w:rsid w:val="00146DD1"/>
    <w:rsid w:val="00146E2E"/>
    <w:rsid w:val="001472FC"/>
    <w:rsid w:val="001473D1"/>
    <w:rsid w:val="001475D1"/>
    <w:rsid w:val="00147619"/>
    <w:rsid w:val="001479E5"/>
    <w:rsid w:val="00147C1E"/>
    <w:rsid w:val="00147DC1"/>
    <w:rsid w:val="00150007"/>
    <w:rsid w:val="00150293"/>
    <w:rsid w:val="00150709"/>
    <w:rsid w:val="00150EBE"/>
    <w:rsid w:val="00151105"/>
    <w:rsid w:val="001511CE"/>
    <w:rsid w:val="001513FA"/>
    <w:rsid w:val="0015146A"/>
    <w:rsid w:val="0015185C"/>
    <w:rsid w:val="00151AD7"/>
    <w:rsid w:val="00151E77"/>
    <w:rsid w:val="001520B8"/>
    <w:rsid w:val="001520F3"/>
    <w:rsid w:val="0015239B"/>
    <w:rsid w:val="0015284C"/>
    <w:rsid w:val="00152B19"/>
    <w:rsid w:val="00152B71"/>
    <w:rsid w:val="00152C83"/>
    <w:rsid w:val="00152CFF"/>
    <w:rsid w:val="00153077"/>
    <w:rsid w:val="0015316B"/>
    <w:rsid w:val="0015319A"/>
    <w:rsid w:val="001531A2"/>
    <w:rsid w:val="00153548"/>
    <w:rsid w:val="001535FF"/>
    <w:rsid w:val="001536FA"/>
    <w:rsid w:val="0015375C"/>
    <w:rsid w:val="00153A02"/>
    <w:rsid w:val="00153A4F"/>
    <w:rsid w:val="00153FC0"/>
    <w:rsid w:val="0015407E"/>
    <w:rsid w:val="001541B5"/>
    <w:rsid w:val="0015458A"/>
    <w:rsid w:val="00154690"/>
    <w:rsid w:val="001547AA"/>
    <w:rsid w:val="00154918"/>
    <w:rsid w:val="00154EB6"/>
    <w:rsid w:val="00154EC9"/>
    <w:rsid w:val="0015515A"/>
    <w:rsid w:val="0015518B"/>
    <w:rsid w:val="00155289"/>
    <w:rsid w:val="00155343"/>
    <w:rsid w:val="00155723"/>
    <w:rsid w:val="00155751"/>
    <w:rsid w:val="00155895"/>
    <w:rsid w:val="00155897"/>
    <w:rsid w:val="00155BD1"/>
    <w:rsid w:val="00155BF5"/>
    <w:rsid w:val="00156231"/>
    <w:rsid w:val="00156244"/>
    <w:rsid w:val="00156394"/>
    <w:rsid w:val="00156512"/>
    <w:rsid w:val="0015676B"/>
    <w:rsid w:val="0015686A"/>
    <w:rsid w:val="00156A4C"/>
    <w:rsid w:val="00156A5E"/>
    <w:rsid w:val="00156A93"/>
    <w:rsid w:val="00156AF4"/>
    <w:rsid w:val="00156B93"/>
    <w:rsid w:val="00156D23"/>
    <w:rsid w:val="00156F91"/>
    <w:rsid w:val="00157005"/>
    <w:rsid w:val="001572B9"/>
    <w:rsid w:val="001575A2"/>
    <w:rsid w:val="00157608"/>
    <w:rsid w:val="001576CD"/>
    <w:rsid w:val="00157723"/>
    <w:rsid w:val="00157800"/>
    <w:rsid w:val="00157BD8"/>
    <w:rsid w:val="00157CA0"/>
    <w:rsid w:val="00157CF0"/>
    <w:rsid w:val="00157D7C"/>
    <w:rsid w:val="001600FB"/>
    <w:rsid w:val="0016015F"/>
    <w:rsid w:val="0016058A"/>
    <w:rsid w:val="001605C9"/>
    <w:rsid w:val="00160694"/>
    <w:rsid w:val="001607BD"/>
    <w:rsid w:val="001607D6"/>
    <w:rsid w:val="00160B10"/>
    <w:rsid w:val="00160BE4"/>
    <w:rsid w:val="00160D91"/>
    <w:rsid w:val="00160DCD"/>
    <w:rsid w:val="001610AC"/>
    <w:rsid w:val="0016115F"/>
    <w:rsid w:val="001611A6"/>
    <w:rsid w:val="001613ED"/>
    <w:rsid w:val="001614A8"/>
    <w:rsid w:val="001614DE"/>
    <w:rsid w:val="001614EF"/>
    <w:rsid w:val="00161883"/>
    <w:rsid w:val="00161AE7"/>
    <w:rsid w:val="00161CAB"/>
    <w:rsid w:val="00161DA2"/>
    <w:rsid w:val="00161E04"/>
    <w:rsid w:val="00161E8A"/>
    <w:rsid w:val="001621B6"/>
    <w:rsid w:val="001621CC"/>
    <w:rsid w:val="00162302"/>
    <w:rsid w:val="00162377"/>
    <w:rsid w:val="0016259A"/>
    <w:rsid w:val="001627A9"/>
    <w:rsid w:val="00162B08"/>
    <w:rsid w:val="00162BE5"/>
    <w:rsid w:val="00162DA8"/>
    <w:rsid w:val="00162E63"/>
    <w:rsid w:val="00163083"/>
    <w:rsid w:val="00163165"/>
    <w:rsid w:val="0016330F"/>
    <w:rsid w:val="0016351C"/>
    <w:rsid w:val="001635CE"/>
    <w:rsid w:val="0016388D"/>
    <w:rsid w:val="001639C4"/>
    <w:rsid w:val="001639F1"/>
    <w:rsid w:val="00163A17"/>
    <w:rsid w:val="00163A8E"/>
    <w:rsid w:val="00163B73"/>
    <w:rsid w:val="00163F0D"/>
    <w:rsid w:val="00164000"/>
    <w:rsid w:val="0016408B"/>
    <w:rsid w:val="0016413D"/>
    <w:rsid w:val="001641FF"/>
    <w:rsid w:val="0016429B"/>
    <w:rsid w:val="00164422"/>
    <w:rsid w:val="00164612"/>
    <w:rsid w:val="001647D2"/>
    <w:rsid w:val="00164956"/>
    <w:rsid w:val="00164E5F"/>
    <w:rsid w:val="00165117"/>
    <w:rsid w:val="00165203"/>
    <w:rsid w:val="00165525"/>
    <w:rsid w:val="00165808"/>
    <w:rsid w:val="0016587F"/>
    <w:rsid w:val="001658F6"/>
    <w:rsid w:val="001659D2"/>
    <w:rsid w:val="00165B3C"/>
    <w:rsid w:val="00165E16"/>
    <w:rsid w:val="00165EA9"/>
    <w:rsid w:val="00165F7A"/>
    <w:rsid w:val="0016611C"/>
    <w:rsid w:val="00166468"/>
    <w:rsid w:val="0016691D"/>
    <w:rsid w:val="00166AE5"/>
    <w:rsid w:val="00166D5C"/>
    <w:rsid w:val="00166E7D"/>
    <w:rsid w:val="001670B6"/>
    <w:rsid w:val="0016711D"/>
    <w:rsid w:val="00167265"/>
    <w:rsid w:val="001673B3"/>
    <w:rsid w:val="0016761E"/>
    <w:rsid w:val="001676BB"/>
    <w:rsid w:val="001679BC"/>
    <w:rsid w:val="00167A32"/>
    <w:rsid w:val="00167EDD"/>
    <w:rsid w:val="00170061"/>
    <w:rsid w:val="0017011C"/>
    <w:rsid w:val="0017044B"/>
    <w:rsid w:val="001706A0"/>
    <w:rsid w:val="001706DD"/>
    <w:rsid w:val="00170701"/>
    <w:rsid w:val="0017095F"/>
    <w:rsid w:val="00170988"/>
    <w:rsid w:val="00170BE4"/>
    <w:rsid w:val="00170D3E"/>
    <w:rsid w:val="00170DD7"/>
    <w:rsid w:val="00170E14"/>
    <w:rsid w:val="00170E44"/>
    <w:rsid w:val="00170E6C"/>
    <w:rsid w:val="00170EF7"/>
    <w:rsid w:val="00170F05"/>
    <w:rsid w:val="00171049"/>
    <w:rsid w:val="001714A6"/>
    <w:rsid w:val="0017169B"/>
    <w:rsid w:val="0017186A"/>
    <w:rsid w:val="001718E7"/>
    <w:rsid w:val="00171B0A"/>
    <w:rsid w:val="00171B29"/>
    <w:rsid w:val="00171DC6"/>
    <w:rsid w:val="001722B7"/>
    <w:rsid w:val="001723F3"/>
    <w:rsid w:val="00172529"/>
    <w:rsid w:val="001727AD"/>
    <w:rsid w:val="001727F0"/>
    <w:rsid w:val="001729F8"/>
    <w:rsid w:val="00172A71"/>
    <w:rsid w:val="00172E47"/>
    <w:rsid w:val="0017364D"/>
    <w:rsid w:val="0017366C"/>
    <w:rsid w:val="0017374A"/>
    <w:rsid w:val="0017378C"/>
    <w:rsid w:val="001738CA"/>
    <w:rsid w:val="00173A5E"/>
    <w:rsid w:val="00173AE5"/>
    <w:rsid w:val="00173B40"/>
    <w:rsid w:val="00173B42"/>
    <w:rsid w:val="00173C5C"/>
    <w:rsid w:val="00173C71"/>
    <w:rsid w:val="00173CD8"/>
    <w:rsid w:val="00173E97"/>
    <w:rsid w:val="00173F18"/>
    <w:rsid w:val="00174120"/>
    <w:rsid w:val="001741C7"/>
    <w:rsid w:val="00174485"/>
    <w:rsid w:val="0017459A"/>
    <w:rsid w:val="00174850"/>
    <w:rsid w:val="00174889"/>
    <w:rsid w:val="0017489E"/>
    <w:rsid w:val="00174C56"/>
    <w:rsid w:val="00174CBF"/>
    <w:rsid w:val="00174E50"/>
    <w:rsid w:val="00174F88"/>
    <w:rsid w:val="001751BD"/>
    <w:rsid w:val="00175345"/>
    <w:rsid w:val="0017539E"/>
    <w:rsid w:val="0017548B"/>
    <w:rsid w:val="00175725"/>
    <w:rsid w:val="00175861"/>
    <w:rsid w:val="00175947"/>
    <w:rsid w:val="00175A50"/>
    <w:rsid w:val="00175A8F"/>
    <w:rsid w:val="00175B8C"/>
    <w:rsid w:val="00175C48"/>
    <w:rsid w:val="00175CB8"/>
    <w:rsid w:val="00175E6D"/>
    <w:rsid w:val="00175FC0"/>
    <w:rsid w:val="0017617E"/>
    <w:rsid w:val="001761DE"/>
    <w:rsid w:val="00176287"/>
    <w:rsid w:val="00176290"/>
    <w:rsid w:val="00176382"/>
    <w:rsid w:val="00176423"/>
    <w:rsid w:val="0017642F"/>
    <w:rsid w:val="001764D5"/>
    <w:rsid w:val="001768D6"/>
    <w:rsid w:val="00176991"/>
    <w:rsid w:val="00176BB4"/>
    <w:rsid w:val="00176BB8"/>
    <w:rsid w:val="00176BEF"/>
    <w:rsid w:val="00176D9E"/>
    <w:rsid w:val="00177187"/>
    <w:rsid w:val="0017720F"/>
    <w:rsid w:val="001772A7"/>
    <w:rsid w:val="001774D5"/>
    <w:rsid w:val="001777E2"/>
    <w:rsid w:val="001777F0"/>
    <w:rsid w:val="00177920"/>
    <w:rsid w:val="00177A53"/>
    <w:rsid w:val="00177ACF"/>
    <w:rsid w:val="00177AFA"/>
    <w:rsid w:val="00177E50"/>
    <w:rsid w:val="00177EF7"/>
    <w:rsid w:val="00177F26"/>
    <w:rsid w:val="00177FE7"/>
    <w:rsid w:val="00180069"/>
    <w:rsid w:val="00180082"/>
    <w:rsid w:val="0018020E"/>
    <w:rsid w:val="001802D3"/>
    <w:rsid w:val="00180458"/>
    <w:rsid w:val="001805A4"/>
    <w:rsid w:val="0018066E"/>
    <w:rsid w:val="001807BC"/>
    <w:rsid w:val="00180844"/>
    <w:rsid w:val="00180970"/>
    <w:rsid w:val="00180C54"/>
    <w:rsid w:val="00180E8E"/>
    <w:rsid w:val="00180EFC"/>
    <w:rsid w:val="00180FD9"/>
    <w:rsid w:val="00181254"/>
    <w:rsid w:val="00181465"/>
    <w:rsid w:val="0018172C"/>
    <w:rsid w:val="00181853"/>
    <w:rsid w:val="00181983"/>
    <w:rsid w:val="001819F1"/>
    <w:rsid w:val="00181B28"/>
    <w:rsid w:val="00181B5F"/>
    <w:rsid w:val="00181C96"/>
    <w:rsid w:val="00181F04"/>
    <w:rsid w:val="00182075"/>
    <w:rsid w:val="001821EA"/>
    <w:rsid w:val="001822E8"/>
    <w:rsid w:val="00182390"/>
    <w:rsid w:val="00182843"/>
    <w:rsid w:val="00182941"/>
    <w:rsid w:val="00182A4B"/>
    <w:rsid w:val="00182A9D"/>
    <w:rsid w:val="00182BA5"/>
    <w:rsid w:val="00182E76"/>
    <w:rsid w:val="00182F02"/>
    <w:rsid w:val="0018308C"/>
    <w:rsid w:val="00183225"/>
    <w:rsid w:val="001835EC"/>
    <w:rsid w:val="00183D9B"/>
    <w:rsid w:val="00183DDE"/>
    <w:rsid w:val="00184181"/>
    <w:rsid w:val="00184367"/>
    <w:rsid w:val="001844C9"/>
    <w:rsid w:val="0018455B"/>
    <w:rsid w:val="001845E3"/>
    <w:rsid w:val="00184669"/>
    <w:rsid w:val="00184842"/>
    <w:rsid w:val="00184883"/>
    <w:rsid w:val="001848A5"/>
    <w:rsid w:val="00184ADD"/>
    <w:rsid w:val="00184B83"/>
    <w:rsid w:val="00184C4D"/>
    <w:rsid w:val="00184CDA"/>
    <w:rsid w:val="001851A0"/>
    <w:rsid w:val="001853AE"/>
    <w:rsid w:val="001853C7"/>
    <w:rsid w:val="001853CD"/>
    <w:rsid w:val="001853DD"/>
    <w:rsid w:val="0018556B"/>
    <w:rsid w:val="00185799"/>
    <w:rsid w:val="0018593C"/>
    <w:rsid w:val="00185972"/>
    <w:rsid w:val="00185A76"/>
    <w:rsid w:val="00185AB8"/>
    <w:rsid w:val="00185BFC"/>
    <w:rsid w:val="00185C4D"/>
    <w:rsid w:val="00185C78"/>
    <w:rsid w:val="00185E30"/>
    <w:rsid w:val="00185F70"/>
    <w:rsid w:val="00186385"/>
    <w:rsid w:val="00186392"/>
    <w:rsid w:val="00186470"/>
    <w:rsid w:val="001864A5"/>
    <w:rsid w:val="00186981"/>
    <w:rsid w:val="00186C33"/>
    <w:rsid w:val="00186C4B"/>
    <w:rsid w:val="00186D62"/>
    <w:rsid w:val="00186FFA"/>
    <w:rsid w:val="00187377"/>
    <w:rsid w:val="001874ED"/>
    <w:rsid w:val="00187590"/>
    <w:rsid w:val="00187739"/>
    <w:rsid w:val="00187770"/>
    <w:rsid w:val="001878BC"/>
    <w:rsid w:val="0018797B"/>
    <w:rsid w:val="00187BA2"/>
    <w:rsid w:val="0019004F"/>
    <w:rsid w:val="00190141"/>
    <w:rsid w:val="0019037D"/>
    <w:rsid w:val="001904CA"/>
    <w:rsid w:val="001905AF"/>
    <w:rsid w:val="00190B92"/>
    <w:rsid w:val="00190C1B"/>
    <w:rsid w:val="00190F60"/>
    <w:rsid w:val="00190F62"/>
    <w:rsid w:val="00190FB6"/>
    <w:rsid w:val="00191044"/>
    <w:rsid w:val="001911FC"/>
    <w:rsid w:val="0019123C"/>
    <w:rsid w:val="0019133A"/>
    <w:rsid w:val="001914E4"/>
    <w:rsid w:val="00191501"/>
    <w:rsid w:val="0019184C"/>
    <w:rsid w:val="00191BFE"/>
    <w:rsid w:val="00191FBA"/>
    <w:rsid w:val="001920F5"/>
    <w:rsid w:val="00192208"/>
    <w:rsid w:val="00192406"/>
    <w:rsid w:val="0019270F"/>
    <w:rsid w:val="00192768"/>
    <w:rsid w:val="001928A6"/>
    <w:rsid w:val="001928D5"/>
    <w:rsid w:val="00192C83"/>
    <w:rsid w:val="00192CE1"/>
    <w:rsid w:val="00192D0F"/>
    <w:rsid w:val="00192F38"/>
    <w:rsid w:val="00192FEF"/>
    <w:rsid w:val="00193062"/>
    <w:rsid w:val="00193187"/>
    <w:rsid w:val="001932F9"/>
    <w:rsid w:val="0019345F"/>
    <w:rsid w:val="001934C1"/>
    <w:rsid w:val="0019389E"/>
    <w:rsid w:val="001938AC"/>
    <w:rsid w:val="00193C18"/>
    <w:rsid w:val="00193CAD"/>
    <w:rsid w:val="00193D3E"/>
    <w:rsid w:val="00193F07"/>
    <w:rsid w:val="00194006"/>
    <w:rsid w:val="00194199"/>
    <w:rsid w:val="00194228"/>
    <w:rsid w:val="0019447E"/>
    <w:rsid w:val="0019452E"/>
    <w:rsid w:val="0019491B"/>
    <w:rsid w:val="001949AC"/>
    <w:rsid w:val="001949FC"/>
    <w:rsid w:val="00194D3D"/>
    <w:rsid w:val="00194D83"/>
    <w:rsid w:val="00194F38"/>
    <w:rsid w:val="001950F5"/>
    <w:rsid w:val="0019533D"/>
    <w:rsid w:val="00195752"/>
    <w:rsid w:val="001959CA"/>
    <w:rsid w:val="00195D46"/>
    <w:rsid w:val="00195D55"/>
    <w:rsid w:val="00195FC7"/>
    <w:rsid w:val="00196086"/>
    <w:rsid w:val="00196161"/>
    <w:rsid w:val="0019635E"/>
    <w:rsid w:val="001965A5"/>
    <w:rsid w:val="0019670E"/>
    <w:rsid w:val="001967B3"/>
    <w:rsid w:val="00196B5E"/>
    <w:rsid w:val="00196C83"/>
    <w:rsid w:val="00196D87"/>
    <w:rsid w:val="00196D9B"/>
    <w:rsid w:val="00196ED3"/>
    <w:rsid w:val="0019710A"/>
    <w:rsid w:val="00197346"/>
    <w:rsid w:val="0019750D"/>
    <w:rsid w:val="0019756E"/>
    <w:rsid w:val="0019766D"/>
    <w:rsid w:val="001976E4"/>
    <w:rsid w:val="00197767"/>
    <w:rsid w:val="001978A0"/>
    <w:rsid w:val="001978C9"/>
    <w:rsid w:val="00197AD5"/>
    <w:rsid w:val="00197EF7"/>
    <w:rsid w:val="00197F11"/>
    <w:rsid w:val="001A03FD"/>
    <w:rsid w:val="001A0464"/>
    <w:rsid w:val="001A062C"/>
    <w:rsid w:val="001A086C"/>
    <w:rsid w:val="001A0AAB"/>
    <w:rsid w:val="001A0B5C"/>
    <w:rsid w:val="001A0C24"/>
    <w:rsid w:val="001A0E37"/>
    <w:rsid w:val="001A0F9A"/>
    <w:rsid w:val="001A11E1"/>
    <w:rsid w:val="001A1332"/>
    <w:rsid w:val="001A144A"/>
    <w:rsid w:val="001A1634"/>
    <w:rsid w:val="001A167D"/>
    <w:rsid w:val="001A16F4"/>
    <w:rsid w:val="001A191B"/>
    <w:rsid w:val="001A1A5C"/>
    <w:rsid w:val="001A1D9E"/>
    <w:rsid w:val="001A1EA4"/>
    <w:rsid w:val="001A205E"/>
    <w:rsid w:val="001A20AB"/>
    <w:rsid w:val="001A2119"/>
    <w:rsid w:val="001A21F4"/>
    <w:rsid w:val="001A256E"/>
    <w:rsid w:val="001A26BA"/>
    <w:rsid w:val="001A2908"/>
    <w:rsid w:val="001A292A"/>
    <w:rsid w:val="001A29ED"/>
    <w:rsid w:val="001A2A5D"/>
    <w:rsid w:val="001A2C0E"/>
    <w:rsid w:val="001A31D7"/>
    <w:rsid w:val="001A33F7"/>
    <w:rsid w:val="001A364D"/>
    <w:rsid w:val="001A3833"/>
    <w:rsid w:val="001A3947"/>
    <w:rsid w:val="001A3A26"/>
    <w:rsid w:val="001A3D12"/>
    <w:rsid w:val="001A3F44"/>
    <w:rsid w:val="001A3F5A"/>
    <w:rsid w:val="001A401C"/>
    <w:rsid w:val="001A4065"/>
    <w:rsid w:val="001A425A"/>
    <w:rsid w:val="001A4463"/>
    <w:rsid w:val="001A44C8"/>
    <w:rsid w:val="001A4552"/>
    <w:rsid w:val="001A4562"/>
    <w:rsid w:val="001A45EF"/>
    <w:rsid w:val="001A47CC"/>
    <w:rsid w:val="001A4B81"/>
    <w:rsid w:val="001A4BB1"/>
    <w:rsid w:val="001A4BC3"/>
    <w:rsid w:val="001A4C99"/>
    <w:rsid w:val="001A4CEE"/>
    <w:rsid w:val="001A4F07"/>
    <w:rsid w:val="001A4F31"/>
    <w:rsid w:val="001A4F41"/>
    <w:rsid w:val="001A5079"/>
    <w:rsid w:val="001A5370"/>
    <w:rsid w:val="001A5488"/>
    <w:rsid w:val="001A5797"/>
    <w:rsid w:val="001A5950"/>
    <w:rsid w:val="001A5CD1"/>
    <w:rsid w:val="001A5D01"/>
    <w:rsid w:val="001A5D0B"/>
    <w:rsid w:val="001A5EBC"/>
    <w:rsid w:val="001A606E"/>
    <w:rsid w:val="001A6311"/>
    <w:rsid w:val="001A643D"/>
    <w:rsid w:val="001A64A7"/>
    <w:rsid w:val="001A6505"/>
    <w:rsid w:val="001A655F"/>
    <w:rsid w:val="001A65AD"/>
    <w:rsid w:val="001A66FB"/>
    <w:rsid w:val="001A68EE"/>
    <w:rsid w:val="001A696B"/>
    <w:rsid w:val="001A69CC"/>
    <w:rsid w:val="001A6A2E"/>
    <w:rsid w:val="001A6AA0"/>
    <w:rsid w:val="001A6AA4"/>
    <w:rsid w:val="001A6BE6"/>
    <w:rsid w:val="001A6D69"/>
    <w:rsid w:val="001A723C"/>
    <w:rsid w:val="001A7327"/>
    <w:rsid w:val="001A76EA"/>
    <w:rsid w:val="001A77D7"/>
    <w:rsid w:val="001A77EF"/>
    <w:rsid w:val="001A7AF9"/>
    <w:rsid w:val="001A7B13"/>
    <w:rsid w:val="001A7DAE"/>
    <w:rsid w:val="001A7E6C"/>
    <w:rsid w:val="001A7EF4"/>
    <w:rsid w:val="001A7FEA"/>
    <w:rsid w:val="001B0099"/>
    <w:rsid w:val="001B010E"/>
    <w:rsid w:val="001B027C"/>
    <w:rsid w:val="001B02FB"/>
    <w:rsid w:val="001B047B"/>
    <w:rsid w:val="001B04D3"/>
    <w:rsid w:val="001B05EC"/>
    <w:rsid w:val="001B06BF"/>
    <w:rsid w:val="001B0716"/>
    <w:rsid w:val="001B0866"/>
    <w:rsid w:val="001B08D2"/>
    <w:rsid w:val="001B0C7C"/>
    <w:rsid w:val="001B0C91"/>
    <w:rsid w:val="001B0D16"/>
    <w:rsid w:val="001B0D3F"/>
    <w:rsid w:val="001B0DDA"/>
    <w:rsid w:val="001B0EE1"/>
    <w:rsid w:val="001B1394"/>
    <w:rsid w:val="001B14D6"/>
    <w:rsid w:val="001B1B35"/>
    <w:rsid w:val="001B1F04"/>
    <w:rsid w:val="001B1F22"/>
    <w:rsid w:val="001B1F3A"/>
    <w:rsid w:val="001B20E4"/>
    <w:rsid w:val="001B2196"/>
    <w:rsid w:val="001B2649"/>
    <w:rsid w:val="001B287A"/>
    <w:rsid w:val="001B28B5"/>
    <w:rsid w:val="001B2961"/>
    <w:rsid w:val="001B2B03"/>
    <w:rsid w:val="001B2C14"/>
    <w:rsid w:val="001B2CEA"/>
    <w:rsid w:val="001B2DEC"/>
    <w:rsid w:val="001B2DEF"/>
    <w:rsid w:val="001B30B3"/>
    <w:rsid w:val="001B30C1"/>
    <w:rsid w:val="001B311E"/>
    <w:rsid w:val="001B33A1"/>
    <w:rsid w:val="001B33D3"/>
    <w:rsid w:val="001B346F"/>
    <w:rsid w:val="001B349B"/>
    <w:rsid w:val="001B349C"/>
    <w:rsid w:val="001B38AA"/>
    <w:rsid w:val="001B3A45"/>
    <w:rsid w:val="001B3DA3"/>
    <w:rsid w:val="001B3DBF"/>
    <w:rsid w:val="001B3EC4"/>
    <w:rsid w:val="001B406B"/>
    <w:rsid w:val="001B40D3"/>
    <w:rsid w:val="001B417A"/>
    <w:rsid w:val="001B4694"/>
    <w:rsid w:val="001B4952"/>
    <w:rsid w:val="001B4BCA"/>
    <w:rsid w:val="001B4D0A"/>
    <w:rsid w:val="001B4F9D"/>
    <w:rsid w:val="001B55F5"/>
    <w:rsid w:val="001B5627"/>
    <w:rsid w:val="001B567B"/>
    <w:rsid w:val="001B567E"/>
    <w:rsid w:val="001B56D3"/>
    <w:rsid w:val="001B56DB"/>
    <w:rsid w:val="001B5820"/>
    <w:rsid w:val="001B583D"/>
    <w:rsid w:val="001B5B9E"/>
    <w:rsid w:val="001B5D0E"/>
    <w:rsid w:val="001B5DB2"/>
    <w:rsid w:val="001B5DEE"/>
    <w:rsid w:val="001B5DFA"/>
    <w:rsid w:val="001B6074"/>
    <w:rsid w:val="001B60D6"/>
    <w:rsid w:val="001B60FF"/>
    <w:rsid w:val="001B619E"/>
    <w:rsid w:val="001B627F"/>
    <w:rsid w:val="001B6464"/>
    <w:rsid w:val="001B646E"/>
    <w:rsid w:val="001B6492"/>
    <w:rsid w:val="001B6496"/>
    <w:rsid w:val="001B6499"/>
    <w:rsid w:val="001B660B"/>
    <w:rsid w:val="001B6732"/>
    <w:rsid w:val="001B67AE"/>
    <w:rsid w:val="001B6B82"/>
    <w:rsid w:val="001B6BAB"/>
    <w:rsid w:val="001B7053"/>
    <w:rsid w:val="001B70C1"/>
    <w:rsid w:val="001B73A2"/>
    <w:rsid w:val="001B74BE"/>
    <w:rsid w:val="001B772C"/>
    <w:rsid w:val="001B7736"/>
    <w:rsid w:val="001C014B"/>
    <w:rsid w:val="001C01A6"/>
    <w:rsid w:val="001C0257"/>
    <w:rsid w:val="001C049C"/>
    <w:rsid w:val="001C04CA"/>
    <w:rsid w:val="001C054B"/>
    <w:rsid w:val="001C0803"/>
    <w:rsid w:val="001C087C"/>
    <w:rsid w:val="001C08A5"/>
    <w:rsid w:val="001C0E0D"/>
    <w:rsid w:val="001C1131"/>
    <w:rsid w:val="001C1400"/>
    <w:rsid w:val="001C142A"/>
    <w:rsid w:val="001C1470"/>
    <w:rsid w:val="001C1525"/>
    <w:rsid w:val="001C15E5"/>
    <w:rsid w:val="001C1665"/>
    <w:rsid w:val="001C169E"/>
    <w:rsid w:val="001C16B4"/>
    <w:rsid w:val="001C17D1"/>
    <w:rsid w:val="001C1928"/>
    <w:rsid w:val="001C1B03"/>
    <w:rsid w:val="001C1B86"/>
    <w:rsid w:val="001C1CA2"/>
    <w:rsid w:val="001C215F"/>
    <w:rsid w:val="001C21D4"/>
    <w:rsid w:val="001C2221"/>
    <w:rsid w:val="001C2257"/>
    <w:rsid w:val="001C227B"/>
    <w:rsid w:val="001C22BD"/>
    <w:rsid w:val="001C2408"/>
    <w:rsid w:val="001C24F3"/>
    <w:rsid w:val="001C2534"/>
    <w:rsid w:val="001C25AB"/>
    <w:rsid w:val="001C25FE"/>
    <w:rsid w:val="001C2647"/>
    <w:rsid w:val="001C27BC"/>
    <w:rsid w:val="001C288E"/>
    <w:rsid w:val="001C298E"/>
    <w:rsid w:val="001C2C12"/>
    <w:rsid w:val="001C2D31"/>
    <w:rsid w:val="001C30A9"/>
    <w:rsid w:val="001C3234"/>
    <w:rsid w:val="001C34BC"/>
    <w:rsid w:val="001C3608"/>
    <w:rsid w:val="001C3774"/>
    <w:rsid w:val="001C37FC"/>
    <w:rsid w:val="001C38F0"/>
    <w:rsid w:val="001C3900"/>
    <w:rsid w:val="001C403B"/>
    <w:rsid w:val="001C42C1"/>
    <w:rsid w:val="001C43F8"/>
    <w:rsid w:val="001C4477"/>
    <w:rsid w:val="001C44A0"/>
    <w:rsid w:val="001C46A8"/>
    <w:rsid w:val="001C48BF"/>
    <w:rsid w:val="001C48CF"/>
    <w:rsid w:val="001C4A8A"/>
    <w:rsid w:val="001C4AC1"/>
    <w:rsid w:val="001C4B9A"/>
    <w:rsid w:val="001C4E35"/>
    <w:rsid w:val="001C527A"/>
    <w:rsid w:val="001C5482"/>
    <w:rsid w:val="001C559D"/>
    <w:rsid w:val="001C55E8"/>
    <w:rsid w:val="001C56E3"/>
    <w:rsid w:val="001C597A"/>
    <w:rsid w:val="001C5B7B"/>
    <w:rsid w:val="001C5BB8"/>
    <w:rsid w:val="001C5BEB"/>
    <w:rsid w:val="001C5C05"/>
    <w:rsid w:val="001C5CF0"/>
    <w:rsid w:val="001C622C"/>
    <w:rsid w:val="001C62CC"/>
    <w:rsid w:val="001C6637"/>
    <w:rsid w:val="001C6639"/>
    <w:rsid w:val="001C67C3"/>
    <w:rsid w:val="001C67F5"/>
    <w:rsid w:val="001C68A2"/>
    <w:rsid w:val="001C6A7D"/>
    <w:rsid w:val="001C6BDD"/>
    <w:rsid w:val="001C6D6A"/>
    <w:rsid w:val="001C6F6A"/>
    <w:rsid w:val="001C7021"/>
    <w:rsid w:val="001C7481"/>
    <w:rsid w:val="001C748B"/>
    <w:rsid w:val="001C754A"/>
    <w:rsid w:val="001C764F"/>
    <w:rsid w:val="001C7721"/>
    <w:rsid w:val="001C780C"/>
    <w:rsid w:val="001C7CA6"/>
    <w:rsid w:val="001D022D"/>
    <w:rsid w:val="001D0357"/>
    <w:rsid w:val="001D03D6"/>
    <w:rsid w:val="001D0401"/>
    <w:rsid w:val="001D0512"/>
    <w:rsid w:val="001D052E"/>
    <w:rsid w:val="001D073A"/>
    <w:rsid w:val="001D09CA"/>
    <w:rsid w:val="001D0B9A"/>
    <w:rsid w:val="001D0BA3"/>
    <w:rsid w:val="001D0BC9"/>
    <w:rsid w:val="001D0CD8"/>
    <w:rsid w:val="001D103A"/>
    <w:rsid w:val="001D1309"/>
    <w:rsid w:val="001D1513"/>
    <w:rsid w:val="001D1704"/>
    <w:rsid w:val="001D19DA"/>
    <w:rsid w:val="001D1B14"/>
    <w:rsid w:val="001D1BC7"/>
    <w:rsid w:val="001D1E9E"/>
    <w:rsid w:val="001D1FBE"/>
    <w:rsid w:val="001D20A9"/>
    <w:rsid w:val="001D2253"/>
    <w:rsid w:val="001D22A3"/>
    <w:rsid w:val="001D22A8"/>
    <w:rsid w:val="001D22F6"/>
    <w:rsid w:val="001D2374"/>
    <w:rsid w:val="001D2447"/>
    <w:rsid w:val="001D2486"/>
    <w:rsid w:val="001D249E"/>
    <w:rsid w:val="001D24BE"/>
    <w:rsid w:val="001D260C"/>
    <w:rsid w:val="001D266B"/>
    <w:rsid w:val="001D2A4C"/>
    <w:rsid w:val="001D2B5A"/>
    <w:rsid w:val="001D2C8E"/>
    <w:rsid w:val="001D2D7E"/>
    <w:rsid w:val="001D2EBE"/>
    <w:rsid w:val="001D2EDA"/>
    <w:rsid w:val="001D3243"/>
    <w:rsid w:val="001D3318"/>
    <w:rsid w:val="001D352E"/>
    <w:rsid w:val="001D35E5"/>
    <w:rsid w:val="001D35F5"/>
    <w:rsid w:val="001D36E3"/>
    <w:rsid w:val="001D3760"/>
    <w:rsid w:val="001D38DD"/>
    <w:rsid w:val="001D398F"/>
    <w:rsid w:val="001D39C6"/>
    <w:rsid w:val="001D3F21"/>
    <w:rsid w:val="001D409F"/>
    <w:rsid w:val="001D41E1"/>
    <w:rsid w:val="001D4396"/>
    <w:rsid w:val="001D43E3"/>
    <w:rsid w:val="001D4496"/>
    <w:rsid w:val="001D46CE"/>
    <w:rsid w:val="001D4702"/>
    <w:rsid w:val="001D4A8E"/>
    <w:rsid w:val="001D4D24"/>
    <w:rsid w:val="001D4D9D"/>
    <w:rsid w:val="001D5206"/>
    <w:rsid w:val="001D528B"/>
    <w:rsid w:val="001D5318"/>
    <w:rsid w:val="001D53EF"/>
    <w:rsid w:val="001D5A81"/>
    <w:rsid w:val="001D5CE7"/>
    <w:rsid w:val="001D5D06"/>
    <w:rsid w:val="001D5E5B"/>
    <w:rsid w:val="001D5FF0"/>
    <w:rsid w:val="001D64D6"/>
    <w:rsid w:val="001D6549"/>
    <w:rsid w:val="001D65E6"/>
    <w:rsid w:val="001D65F4"/>
    <w:rsid w:val="001D6718"/>
    <w:rsid w:val="001D6A2E"/>
    <w:rsid w:val="001D6A7C"/>
    <w:rsid w:val="001D6CE5"/>
    <w:rsid w:val="001D6F43"/>
    <w:rsid w:val="001D7075"/>
    <w:rsid w:val="001D71EF"/>
    <w:rsid w:val="001D741C"/>
    <w:rsid w:val="001D74F2"/>
    <w:rsid w:val="001D751B"/>
    <w:rsid w:val="001D7551"/>
    <w:rsid w:val="001D7554"/>
    <w:rsid w:val="001D7618"/>
    <w:rsid w:val="001D763D"/>
    <w:rsid w:val="001D774A"/>
    <w:rsid w:val="001D7A1E"/>
    <w:rsid w:val="001D7C84"/>
    <w:rsid w:val="001D7CBB"/>
    <w:rsid w:val="001D7D42"/>
    <w:rsid w:val="001D7D4D"/>
    <w:rsid w:val="001D7D5D"/>
    <w:rsid w:val="001D7F11"/>
    <w:rsid w:val="001E026B"/>
    <w:rsid w:val="001E0429"/>
    <w:rsid w:val="001E110B"/>
    <w:rsid w:val="001E1156"/>
    <w:rsid w:val="001E12FA"/>
    <w:rsid w:val="001E1364"/>
    <w:rsid w:val="001E155A"/>
    <w:rsid w:val="001E1733"/>
    <w:rsid w:val="001E174A"/>
    <w:rsid w:val="001E1754"/>
    <w:rsid w:val="001E192E"/>
    <w:rsid w:val="001E19DF"/>
    <w:rsid w:val="001E1B09"/>
    <w:rsid w:val="001E1B31"/>
    <w:rsid w:val="001E1C4A"/>
    <w:rsid w:val="001E1DC7"/>
    <w:rsid w:val="001E2158"/>
    <w:rsid w:val="001E21A8"/>
    <w:rsid w:val="001E2472"/>
    <w:rsid w:val="001E24D8"/>
    <w:rsid w:val="001E2613"/>
    <w:rsid w:val="001E292A"/>
    <w:rsid w:val="001E2C3E"/>
    <w:rsid w:val="001E2CA0"/>
    <w:rsid w:val="001E2D21"/>
    <w:rsid w:val="001E2D72"/>
    <w:rsid w:val="001E2DEF"/>
    <w:rsid w:val="001E2F4A"/>
    <w:rsid w:val="001E2FEF"/>
    <w:rsid w:val="001E2FFC"/>
    <w:rsid w:val="001E305D"/>
    <w:rsid w:val="001E3180"/>
    <w:rsid w:val="001E3319"/>
    <w:rsid w:val="001E3559"/>
    <w:rsid w:val="001E3638"/>
    <w:rsid w:val="001E3664"/>
    <w:rsid w:val="001E38E6"/>
    <w:rsid w:val="001E3A09"/>
    <w:rsid w:val="001E3B10"/>
    <w:rsid w:val="001E3B5F"/>
    <w:rsid w:val="001E3CD9"/>
    <w:rsid w:val="001E3E2A"/>
    <w:rsid w:val="001E3EAD"/>
    <w:rsid w:val="001E3ED1"/>
    <w:rsid w:val="001E3FF0"/>
    <w:rsid w:val="001E401A"/>
    <w:rsid w:val="001E409F"/>
    <w:rsid w:val="001E413F"/>
    <w:rsid w:val="001E426E"/>
    <w:rsid w:val="001E429B"/>
    <w:rsid w:val="001E4400"/>
    <w:rsid w:val="001E4493"/>
    <w:rsid w:val="001E4498"/>
    <w:rsid w:val="001E44E4"/>
    <w:rsid w:val="001E44F9"/>
    <w:rsid w:val="001E453D"/>
    <w:rsid w:val="001E4543"/>
    <w:rsid w:val="001E454B"/>
    <w:rsid w:val="001E482A"/>
    <w:rsid w:val="001E4864"/>
    <w:rsid w:val="001E4C0F"/>
    <w:rsid w:val="001E4E80"/>
    <w:rsid w:val="001E5061"/>
    <w:rsid w:val="001E565F"/>
    <w:rsid w:val="001E5893"/>
    <w:rsid w:val="001E59B8"/>
    <w:rsid w:val="001E5A8C"/>
    <w:rsid w:val="001E5AB5"/>
    <w:rsid w:val="001E5E80"/>
    <w:rsid w:val="001E5F2C"/>
    <w:rsid w:val="001E6031"/>
    <w:rsid w:val="001E6037"/>
    <w:rsid w:val="001E6224"/>
    <w:rsid w:val="001E6856"/>
    <w:rsid w:val="001E69C1"/>
    <w:rsid w:val="001E6C30"/>
    <w:rsid w:val="001E6DE4"/>
    <w:rsid w:val="001E6E2B"/>
    <w:rsid w:val="001E7239"/>
    <w:rsid w:val="001E74F7"/>
    <w:rsid w:val="001E75E9"/>
    <w:rsid w:val="001E775C"/>
    <w:rsid w:val="001E79BB"/>
    <w:rsid w:val="001E79CE"/>
    <w:rsid w:val="001E7AEA"/>
    <w:rsid w:val="001E7AF7"/>
    <w:rsid w:val="001E7B82"/>
    <w:rsid w:val="001E7CC7"/>
    <w:rsid w:val="001E7CF1"/>
    <w:rsid w:val="001E7FCC"/>
    <w:rsid w:val="001F028C"/>
    <w:rsid w:val="001F02D5"/>
    <w:rsid w:val="001F0425"/>
    <w:rsid w:val="001F06B2"/>
    <w:rsid w:val="001F0884"/>
    <w:rsid w:val="001F0A84"/>
    <w:rsid w:val="001F0B49"/>
    <w:rsid w:val="001F0B58"/>
    <w:rsid w:val="001F0B8B"/>
    <w:rsid w:val="001F0D35"/>
    <w:rsid w:val="001F0DE4"/>
    <w:rsid w:val="001F0E82"/>
    <w:rsid w:val="001F0FFF"/>
    <w:rsid w:val="001F129E"/>
    <w:rsid w:val="001F1642"/>
    <w:rsid w:val="001F170E"/>
    <w:rsid w:val="001F1B55"/>
    <w:rsid w:val="001F1F26"/>
    <w:rsid w:val="001F210F"/>
    <w:rsid w:val="001F241B"/>
    <w:rsid w:val="001F2535"/>
    <w:rsid w:val="001F2769"/>
    <w:rsid w:val="001F2844"/>
    <w:rsid w:val="001F2992"/>
    <w:rsid w:val="001F2EA8"/>
    <w:rsid w:val="001F31A7"/>
    <w:rsid w:val="001F3469"/>
    <w:rsid w:val="001F34FB"/>
    <w:rsid w:val="001F3647"/>
    <w:rsid w:val="001F3671"/>
    <w:rsid w:val="001F3962"/>
    <w:rsid w:val="001F3A49"/>
    <w:rsid w:val="001F3AE1"/>
    <w:rsid w:val="001F3B4F"/>
    <w:rsid w:val="001F3BFD"/>
    <w:rsid w:val="001F3CFC"/>
    <w:rsid w:val="001F3E62"/>
    <w:rsid w:val="001F4197"/>
    <w:rsid w:val="001F4734"/>
    <w:rsid w:val="001F4859"/>
    <w:rsid w:val="001F488C"/>
    <w:rsid w:val="001F49E4"/>
    <w:rsid w:val="001F4CA8"/>
    <w:rsid w:val="001F4DD3"/>
    <w:rsid w:val="001F5144"/>
    <w:rsid w:val="001F5235"/>
    <w:rsid w:val="001F5399"/>
    <w:rsid w:val="001F53A8"/>
    <w:rsid w:val="001F549D"/>
    <w:rsid w:val="001F54C6"/>
    <w:rsid w:val="001F588C"/>
    <w:rsid w:val="001F5A23"/>
    <w:rsid w:val="001F5AC4"/>
    <w:rsid w:val="001F5AF2"/>
    <w:rsid w:val="001F5C07"/>
    <w:rsid w:val="001F5C18"/>
    <w:rsid w:val="001F5DF9"/>
    <w:rsid w:val="001F5E65"/>
    <w:rsid w:val="001F61E4"/>
    <w:rsid w:val="001F640A"/>
    <w:rsid w:val="001F6576"/>
    <w:rsid w:val="001F65E2"/>
    <w:rsid w:val="001F6821"/>
    <w:rsid w:val="001F6DD9"/>
    <w:rsid w:val="001F6F00"/>
    <w:rsid w:val="001F6FBF"/>
    <w:rsid w:val="001F6FCC"/>
    <w:rsid w:val="001F7773"/>
    <w:rsid w:val="001F7AA8"/>
    <w:rsid w:val="001F7B96"/>
    <w:rsid w:val="001F7BDD"/>
    <w:rsid w:val="001F7C42"/>
    <w:rsid w:val="001F7C67"/>
    <w:rsid w:val="001F7DC4"/>
    <w:rsid w:val="00200111"/>
    <w:rsid w:val="0020015D"/>
    <w:rsid w:val="00200179"/>
    <w:rsid w:val="00200266"/>
    <w:rsid w:val="0020035F"/>
    <w:rsid w:val="00200365"/>
    <w:rsid w:val="002003CA"/>
    <w:rsid w:val="00200539"/>
    <w:rsid w:val="00200595"/>
    <w:rsid w:val="002005FA"/>
    <w:rsid w:val="00200652"/>
    <w:rsid w:val="00200E78"/>
    <w:rsid w:val="00200F50"/>
    <w:rsid w:val="00200F83"/>
    <w:rsid w:val="00200F9A"/>
    <w:rsid w:val="002010E1"/>
    <w:rsid w:val="002011DF"/>
    <w:rsid w:val="00201489"/>
    <w:rsid w:val="00201575"/>
    <w:rsid w:val="00201580"/>
    <w:rsid w:val="00201781"/>
    <w:rsid w:val="002017CE"/>
    <w:rsid w:val="00201879"/>
    <w:rsid w:val="00201B76"/>
    <w:rsid w:val="00201BDD"/>
    <w:rsid w:val="00201BE1"/>
    <w:rsid w:val="00201E90"/>
    <w:rsid w:val="00202009"/>
    <w:rsid w:val="00202043"/>
    <w:rsid w:val="0020209E"/>
    <w:rsid w:val="002025C3"/>
    <w:rsid w:val="002026F7"/>
    <w:rsid w:val="00202944"/>
    <w:rsid w:val="0020295D"/>
    <w:rsid w:val="00203220"/>
    <w:rsid w:val="002032F9"/>
    <w:rsid w:val="0020345D"/>
    <w:rsid w:val="0020361D"/>
    <w:rsid w:val="00203653"/>
    <w:rsid w:val="002036DD"/>
    <w:rsid w:val="0020382E"/>
    <w:rsid w:val="002039F0"/>
    <w:rsid w:val="00203A2A"/>
    <w:rsid w:val="00203F21"/>
    <w:rsid w:val="00203FF1"/>
    <w:rsid w:val="002041B7"/>
    <w:rsid w:val="00204252"/>
    <w:rsid w:val="00204469"/>
    <w:rsid w:val="0020447A"/>
    <w:rsid w:val="002044C7"/>
    <w:rsid w:val="00204545"/>
    <w:rsid w:val="0020478F"/>
    <w:rsid w:val="002049C3"/>
    <w:rsid w:val="002049C5"/>
    <w:rsid w:val="00204B91"/>
    <w:rsid w:val="00204BEC"/>
    <w:rsid w:val="00204C3D"/>
    <w:rsid w:val="00204D6E"/>
    <w:rsid w:val="00204DE8"/>
    <w:rsid w:val="00204E9D"/>
    <w:rsid w:val="00204F1F"/>
    <w:rsid w:val="00204FC7"/>
    <w:rsid w:val="002050E8"/>
    <w:rsid w:val="002051E6"/>
    <w:rsid w:val="00205443"/>
    <w:rsid w:val="002057DC"/>
    <w:rsid w:val="00205871"/>
    <w:rsid w:val="00205B2D"/>
    <w:rsid w:val="00205B46"/>
    <w:rsid w:val="00205C69"/>
    <w:rsid w:val="002060CF"/>
    <w:rsid w:val="00206324"/>
    <w:rsid w:val="002063F1"/>
    <w:rsid w:val="0020640D"/>
    <w:rsid w:val="0020659B"/>
    <w:rsid w:val="00206673"/>
    <w:rsid w:val="002066E1"/>
    <w:rsid w:val="00206AAC"/>
    <w:rsid w:val="00206B31"/>
    <w:rsid w:val="00206C1F"/>
    <w:rsid w:val="00206E53"/>
    <w:rsid w:val="00206F62"/>
    <w:rsid w:val="00206FAE"/>
    <w:rsid w:val="0020700A"/>
    <w:rsid w:val="00207165"/>
    <w:rsid w:val="00207174"/>
    <w:rsid w:val="002073FF"/>
    <w:rsid w:val="0020748D"/>
    <w:rsid w:val="00207506"/>
    <w:rsid w:val="00207686"/>
    <w:rsid w:val="00207893"/>
    <w:rsid w:val="00207943"/>
    <w:rsid w:val="002079E7"/>
    <w:rsid w:val="00207BB3"/>
    <w:rsid w:val="00207D08"/>
    <w:rsid w:val="00207DB3"/>
    <w:rsid w:val="00207E0D"/>
    <w:rsid w:val="00207EA0"/>
    <w:rsid w:val="0021027A"/>
    <w:rsid w:val="002105A6"/>
    <w:rsid w:val="002105CF"/>
    <w:rsid w:val="00210811"/>
    <w:rsid w:val="0021083D"/>
    <w:rsid w:val="002108E9"/>
    <w:rsid w:val="00210A57"/>
    <w:rsid w:val="00210D23"/>
    <w:rsid w:val="00210D42"/>
    <w:rsid w:val="00210D67"/>
    <w:rsid w:val="00210E79"/>
    <w:rsid w:val="00211115"/>
    <w:rsid w:val="002111AD"/>
    <w:rsid w:val="0021128F"/>
    <w:rsid w:val="002114C0"/>
    <w:rsid w:val="002114F3"/>
    <w:rsid w:val="00211529"/>
    <w:rsid w:val="0021169C"/>
    <w:rsid w:val="0021175E"/>
    <w:rsid w:val="002119F4"/>
    <w:rsid w:val="00211A67"/>
    <w:rsid w:val="00211E60"/>
    <w:rsid w:val="00211E72"/>
    <w:rsid w:val="00211FC1"/>
    <w:rsid w:val="00212019"/>
    <w:rsid w:val="002122A4"/>
    <w:rsid w:val="0021233A"/>
    <w:rsid w:val="002123B2"/>
    <w:rsid w:val="00212746"/>
    <w:rsid w:val="0021277C"/>
    <w:rsid w:val="00212782"/>
    <w:rsid w:val="00212BE0"/>
    <w:rsid w:val="00212C80"/>
    <w:rsid w:val="00213111"/>
    <w:rsid w:val="00213399"/>
    <w:rsid w:val="002135F0"/>
    <w:rsid w:val="0021377C"/>
    <w:rsid w:val="002137B3"/>
    <w:rsid w:val="0021381D"/>
    <w:rsid w:val="002138B0"/>
    <w:rsid w:val="00213ABB"/>
    <w:rsid w:val="00213BEC"/>
    <w:rsid w:val="00213C52"/>
    <w:rsid w:val="00213C7D"/>
    <w:rsid w:val="00213E22"/>
    <w:rsid w:val="00213E43"/>
    <w:rsid w:val="00213F24"/>
    <w:rsid w:val="00214136"/>
    <w:rsid w:val="00214445"/>
    <w:rsid w:val="002144B4"/>
    <w:rsid w:val="00214668"/>
    <w:rsid w:val="00214729"/>
    <w:rsid w:val="0021472E"/>
    <w:rsid w:val="002147DB"/>
    <w:rsid w:val="00214918"/>
    <w:rsid w:val="002149A5"/>
    <w:rsid w:val="002149BA"/>
    <w:rsid w:val="00214BE9"/>
    <w:rsid w:val="00214C28"/>
    <w:rsid w:val="00214E1F"/>
    <w:rsid w:val="00214F6D"/>
    <w:rsid w:val="00214F80"/>
    <w:rsid w:val="00215038"/>
    <w:rsid w:val="00215149"/>
    <w:rsid w:val="00215332"/>
    <w:rsid w:val="002153AD"/>
    <w:rsid w:val="002153FC"/>
    <w:rsid w:val="00215413"/>
    <w:rsid w:val="00215584"/>
    <w:rsid w:val="002156F7"/>
    <w:rsid w:val="002158E8"/>
    <w:rsid w:val="0021592B"/>
    <w:rsid w:val="00215A72"/>
    <w:rsid w:val="00215BB4"/>
    <w:rsid w:val="00215D28"/>
    <w:rsid w:val="00215F2C"/>
    <w:rsid w:val="00216067"/>
    <w:rsid w:val="002160C4"/>
    <w:rsid w:val="002162FD"/>
    <w:rsid w:val="002164B0"/>
    <w:rsid w:val="00216760"/>
    <w:rsid w:val="0021696B"/>
    <w:rsid w:val="0021697B"/>
    <w:rsid w:val="00216C73"/>
    <w:rsid w:val="00216E20"/>
    <w:rsid w:val="0021701D"/>
    <w:rsid w:val="002175E9"/>
    <w:rsid w:val="002177B7"/>
    <w:rsid w:val="00217A14"/>
    <w:rsid w:val="00217A2A"/>
    <w:rsid w:val="00217A83"/>
    <w:rsid w:val="00217AEA"/>
    <w:rsid w:val="00217B29"/>
    <w:rsid w:val="00217D18"/>
    <w:rsid w:val="00217F89"/>
    <w:rsid w:val="002201B1"/>
    <w:rsid w:val="00220221"/>
    <w:rsid w:val="002202D4"/>
    <w:rsid w:val="0022037D"/>
    <w:rsid w:val="0022049A"/>
    <w:rsid w:val="00220565"/>
    <w:rsid w:val="00220608"/>
    <w:rsid w:val="00220798"/>
    <w:rsid w:val="0022079E"/>
    <w:rsid w:val="00220875"/>
    <w:rsid w:val="00220983"/>
    <w:rsid w:val="00220C1B"/>
    <w:rsid w:val="00220CCE"/>
    <w:rsid w:val="00220CE2"/>
    <w:rsid w:val="00220E7C"/>
    <w:rsid w:val="002210D3"/>
    <w:rsid w:val="00221251"/>
    <w:rsid w:val="002212F9"/>
    <w:rsid w:val="00221301"/>
    <w:rsid w:val="00221408"/>
    <w:rsid w:val="0022140C"/>
    <w:rsid w:val="0022160B"/>
    <w:rsid w:val="0022175C"/>
    <w:rsid w:val="0022192A"/>
    <w:rsid w:val="00221946"/>
    <w:rsid w:val="00221BDF"/>
    <w:rsid w:val="00221D5D"/>
    <w:rsid w:val="00221E63"/>
    <w:rsid w:val="00221E7D"/>
    <w:rsid w:val="00221F2A"/>
    <w:rsid w:val="00221F4A"/>
    <w:rsid w:val="00221F8A"/>
    <w:rsid w:val="00222023"/>
    <w:rsid w:val="002220A5"/>
    <w:rsid w:val="0022219C"/>
    <w:rsid w:val="002223FA"/>
    <w:rsid w:val="0022258A"/>
    <w:rsid w:val="00222705"/>
    <w:rsid w:val="0022279A"/>
    <w:rsid w:val="00222904"/>
    <w:rsid w:val="00222AF4"/>
    <w:rsid w:val="00222C04"/>
    <w:rsid w:val="00222CAD"/>
    <w:rsid w:val="00222D0F"/>
    <w:rsid w:val="00222DD7"/>
    <w:rsid w:val="00223045"/>
    <w:rsid w:val="00223559"/>
    <w:rsid w:val="002236CC"/>
    <w:rsid w:val="002236F0"/>
    <w:rsid w:val="00223A76"/>
    <w:rsid w:val="00223B12"/>
    <w:rsid w:val="00223C05"/>
    <w:rsid w:val="00223C3A"/>
    <w:rsid w:val="00223E61"/>
    <w:rsid w:val="00223EC5"/>
    <w:rsid w:val="00224079"/>
    <w:rsid w:val="0022407E"/>
    <w:rsid w:val="00224202"/>
    <w:rsid w:val="00224303"/>
    <w:rsid w:val="002243BF"/>
    <w:rsid w:val="002244D7"/>
    <w:rsid w:val="002245AD"/>
    <w:rsid w:val="00224737"/>
    <w:rsid w:val="00224765"/>
    <w:rsid w:val="00224956"/>
    <w:rsid w:val="0022497B"/>
    <w:rsid w:val="00224CE3"/>
    <w:rsid w:val="00224E13"/>
    <w:rsid w:val="00224EC7"/>
    <w:rsid w:val="0022506D"/>
    <w:rsid w:val="002250DF"/>
    <w:rsid w:val="00225132"/>
    <w:rsid w:val="0022522F"/>
    <w:rsid w:val="00225290"/>
    <w:rsid w:val="002253F4"/>
    <w:rsid w:val="00225416"/>
    <w:rsid w:val="002254EC"/>
    <w:rsid w:val="0022554E"/>
    <w:rsid w:val="00225934"/>
    <w:rsid w:val="00225AC8"/>
    <w:rsid w:val="00225B5C"/>
    <w:rsid w:val="00225CE9"/>
    <w:rsid w:val="00225D75"/>
    <w:rsid w:val="00225DD2"/>
    <w:rsid w:val="00225EB8"/>
    <w:rsid w:val="00225EFF"/>
    <w:rsid w:val="00226058"/>
    <w:rsid w:val="002261FE"/>
    <w:rsid w:val="0022623E"/>
    <w:rsid w:val="002262B6"/>
    <w:rsid w:val="0022630A"/>
    <w:rsid w:val="0022642F"/>
    <w:rsid w:val="00226568"/>
    <w:rsid w:val="00226799"/>
    <w:rsid w:val="00226882"/>
    <w:rsid w:val="002269B2"/>
    <w:rsid w:val="00226D52"/>
    <w:rsid w:val="00226FDE"/>
    <w:rsid w:val="00226FF4"/>
    <w:rsid w:val="0022716C"/>
    <w:rsid w:val="00227382"/>
    <w:rsid w:val="002273F7"/>
    <w:rsid w:val="002274CC"/>
    <w:rsid w:val="00227723"/>
    <w:rsid w:val="00227801"/>
    <w:rsid w:val="00227C38"/>
    <w:rsid w:val="00227DE9"/>
    <w:rsid w:val="00227EB6"/>
    <w:rsid w:val="002301B7"/>
    <w:rsid w:val="00230220"/>
    <w:rsid w:val="0023031C"/>
    <w:rsid w:val="00230334"/>
    <w:rsid w:val="002303F3"/>
    <w:rsid w:val="002303F6"/>
    <w:rsid w:val="002304D3"/>
    <w:rsid w:val="002304F3"/>
    <w:rsid w:val="0023053C"/>
    <w:rsid w:val="00230832"/>
    <w:rsid w:val="002308A0"/>
    <w:rsid w:val="00230DCC"/>
    <w:rsid w:val="00230E11"/>
    <w:rsid w:val="00230E39"/>
    <w:rsid w:val="00230EA2"/>
    <w:rsid w:val="002310F1"/>
    <w:rsid w:val="002311F3"/>
    <w:rsid w:val="00231340"/>
    <w:rsid w:val="0023143E"/>
    <w:rsid w:val="0023154C"/>
    <w:rsid w:val="002315B7"/>
    <w:rsid w:val="002315B9"/>
    <w:rsid w:val="002315BB"/>
    <w:rsid w:val="0023164E"/>
    <w:rsid w:val="002316D2"/>
    <w:rsid w:val="002316EB"/>
    <w:rsid w:val="00231C41"/>
    <w:rsid w:val="00231DE7"/>
    <w:rsid w:val="00231F46"/>
    <w:rsid w:val="00231FB9"/>
    <w:rsid w:val="00231FC8"/>
    <w:rsid w:val="00231FF6"/>
    <w:rsid w:val="00232524"/>
    <w:rsid w:val="00232570"/>
    <w:rsid w:val="002326F1"/>
    <w:rsid w:val="00232890"/>
    <w:rsid w:val="002328A6"/>
    <w:rsid w:val="00232AE2"/>
    <w:rsid w:val="00232CF8"/>
    <w:rsid w:val="00232DD3"/>
    <w:rsid w:val="00232E45"/>
    <w:rsid w:val="00233039"/>
    <w:rsid w:val="00233091"/>
    <w:rsid w:val="002330DD"/>
    <w:rsid w:val="002332D6"/>
    <w:rsid w:val="002333D7"/>
    <w:rsid w:val="00233402"/>
    <w:rsid w:val="0023340C"/>
    <w:rsid w:val="00233447"/>
    <w:rsid w:val="002334FD"/>
    <w:rsid w:val="0023373F"/>
    <w:rsid w:val="00233B60"/>
    <w:rsid w:val="00233D38"/>
    <w:rsid w:val="00233ED4"/>
    <w:rsid w:val="00233F94"/>
    <w:rsid w:val="002340CC"/>
    <w:rsid w:val="0023414D"/>
    <w:rsid w:val="0023419A"/>
    <w:rsid w:val="002341B9"/>
    <w:rsid w:val="00234559"/>
    <w:rsid w:val="002346EB"/>
    <w:rsid w:val="00234769"/>
    <w:rsid w:val="002347A7"/>
    <w:rsid w:val="00234B36"/>
    <w:rsid w:val="00234CDF"/>
    <w:rsid w:val="00234D81"/>
    <w:rsid w:val="00234F40"/>
    <w:rsid w:val="00235072"/>
    <w:rsid w:val="0023507A"/>
    <w:rsid w:val="002352B3"/>
    <w:rsid w:val="002352F2"/>
    <w:rsid w:val="002352F5"/>
    <w:rsid w:val="00235307"/>
    <w:rsid w:val="00235388"/>
    <w:rsid w:val="002353EF"/>
    <w:rsid w:val="0023553E"/>
    <w:rsid w:val="002359A3"/>
    <w:rsid w:val="00235A7F"/>
    <w:rsid w:val="00235AB1"/>
    <w:rsid w:val="00235AF7"/>
    <w:rsid w:val="00235D57"/>
    <w:rsid w:val="00235E0E"/>
    <w:rsid w:val="00235E86"/>
    <w:rsid w:val="0023619F"/>
    <w:rsid w:val="00236652"/>
    <w:rsid w:val="00236E7F"/>
    <w:rsid w:val="00236FC1"/>
    <w:rsid w:val="0023702D"/>
    <w:rsid w:val="00237384"/>
    <w:rsid w:val="00237530"/>
    <w:rsid w:val="00237852"/>
    <w:rsid w:val="0023788D"/>
    <w:rsid w:val="00237950"/>
    <w:rsid w:val="00237956"/>
    <w:rsid w:val="00237A0B"/>
    <w:rsid w:val="00237E28"/>
    <w:rsid w:val="0024050C"/>
    <w:rsid w:val="00240696"/>
    <w:rsid w:val="002408BC"/>
    <w:rsid w:val="00240CE5"/>
    <w:rsid w:val="00240E78"/>
    <w:rsid w:val="00240EAB"/>
    <w:rsid w:val="00240FEA"/>
    <w:rsid w:val="0024127B"/>
    <w:rsid w:val="002413CF"/>
    <w:rsid w:val="002414BA"/>
    <w:rsid w:val="00241700"/>
    <w:rsid w:val="00241820"/>
    <w:rsid w:val="00241924"/>
    <w:rsid w:val="0024196B"/>
    <w:rsid w:val="00241974"/>
    <w:rsid w:val="00241C17"/>
    <w:rsid w:val="00241CBD"/>
    <w:rsid w:val="00242059"/>
    <w:rsid w:val="00242143"/>
    <w:rsid w:val="00242286"/>
    <w:rsid w:val="002422DB"/>
    <w:rsid w:val="0024230F"/>
    <w:rsid w:val="0024234A"/>
    <w:rsid w:val="002423A0"/>
    <w:rsid w:val="0024243C"/>
    <w:rsid w:val="002424F3"/>
    <w:rsid w:val="00242541"/>
    <w:rsid w:val="002425AF"/>
    <w:rsid w:val="002428AC"/>
    <w:rsid w:val="00242918"/>
    <w:rsid w:val="00242B5C"/>
    <w:rsid w:val="00242DFC"/>
    <w:rsid w:val="00242F0F"/>
    <w:rsid w:val="00242F32"/>
    <w:rsid w:val="002430E0"/>
    <w:rsid w:val="002431FF"/>
    <w:rsid w:val="00243237"/>
    <w:rsid w:val="002436FA"/>
    <w:rsid w:val="0024371C"/>
    <w:rsid w:val="0024392F"/>
    <w:rsid w:val="00243977"/>
    <w:rsid w:val="00243C56"/>
    <w:rsid w:val="00243C91"/>
    <w:rsid w:val="00243EFA"/>
    <w:rsid w:val="00244088"/>
    <w:rsid w:val="00244241"/>
    <w:rsid w:val="002442C5"/>
    <w:rsid w:val="002444A3"/>
    <w:rsid w:val="002445A8"/>
    <w:rsid w:val="00244689"/>
    <w:rsid w:val="002446AF"/>
    <w:rsid w:val="002446F9"/>
    <w:rsid w:val="00244904"/>
    <w:rsid w:val="00244996"/>
    <w:rsid w:val="00244998"/>
    <w:rsid w:val="00244B33"/>
    <w:rsid w:val="00244C9A"/>
    <w:rsid w:val="00244DBC"/>
    <w:rsid w:val="0024506B"/>
    <w:rsid w:val="00245419"/>
    <w:rsid w:val="00245590"/>
    <w:rsid w:val="00245617"/>
    <w:rsid w:val="002456E3"/>
    <w:rsid w:val="002456F2"/>
    <w:rsid w:val="00245864"/>
    <w:rsid w:val="002458F6"/>
    <w:rsid w:val="0024596E"/>
    <w:rsid w:val="00245979"/>
    <w:rsid w:val="00245C6B"/>
    <w:rsid w:val="00245D0C"/>
    <w:rsid w:val="00245DF5"/>
    <w:rsid w:val="00245F90"/>
    <w:rsid w:val="00245FBE"/>
    <w:rsid w:val="00245FE3"/>
    <w:rsid w:val="002460DD"/>
    <w:rsid w:val="00246211"/>
    <w:rsid w:val="0024660F"/>
    <w:rsid w:val="002466F9"/>
    <w:rsid w:val="00246989"/>
    <w:rsid w:val="00246BEC"/>
    <w:rsid w:val="00246D5A"/>
    <w:rsid w:val="00246D60"/>
    <w:rsid w:val="00246E13"/>
    <w:rsid w:val="00246F4A"/>
    <w:rsid w:val="0024703D"/>
    <w:rsid w:val="00247043"/>
    <w:rsid w:val="00247344"/>
    <w:rsid w:val="002474BC"/>
    <w:rsid w:val="0024754E"/>
    <w:rsid w:val="0024768F"/>
    <w:rsid w:val="00247754"/>
    <w:rsid w:val="00247E13"/>
    <w:rsid w:val="00247F81"/>
    <w:rsid w:val="00250037"/>
    <w:rsid w:val="002501C9"/>
    <w:rsid w:val="0025021B"/>
    <w:rsid w:val="00250237"/>
    <w:rsid w:val="002502FE"/>
    <w:rsid w:val="00250317"/>
    <w:rsid w:val="00250349"/>
    <w:rsid w:val="00250488"/>
    <w:rsid w:val="00250526"/>
    <w:rsid w:val="00250542"/>
    <w:rsid w:val="00250843"/>
    <w:rsid w:val="00250989"/>
    <w:rsid w:val="002509B6"/>
    <w:rsid w:val="002509E9"/>
    <w:rsid w:val="00250C2D"/>
    <w:rsid w:val="00250F03"/>
    <w:rsid w:val="00251135"/>
    <w:rsid w:val="00251350"/>
    <w:rsid w:val="00251394"/>
    <w:rsid w:val="00251519"/>
    <w:rsid w:val="00251538"/>
    <w:rsid w:val="0025162F"/>
    <w:rsid w:val="002516C9"/>
    <w:rsid w:val="0025182A"/>
    <w:rsid w:val="002519B2"/>
    <w:rsid w:val="00251C30"/>
    <w:rsid w:val="00251F0C"/>
    <w:rsid w:val="00251FE7"/>
    <w:rsid w:val="00252141"/>
    <w:rsid w:val="00252150"/>
    <w:rsid w:val="00252288"/>
    <w:rsid w:val="002522E3"/>
    <w:rsid w:val="0025249F"/>
    <w:rsid w:val="00252881"/>
    <w:rsid w:val="00252945"/>
    <w:rsid w:val="00252B09"/>
    <w:rsid w:val="00252E0D"/>
    <w:rsid w:val="00252EDB"/>
    <w:rsid w:val="00252F5C"/>
    <w:rsid w:val="002530C0"/>
    <w:rsid w:val="002531B4"/>
    <w:rsid w:val="0025323A"/>
    <w:rsid w:val="0025328F"/>
    <w:rsid w:val="002533A3"/>
    <w:rsid w:val="00253539"/>
    <w:rsid w:val="002535BF"/>
    <w:rsid w:val="002538F1"/>
    <w:rsid w:val="00253CA6"/>
    <w:rsid w:val="00253CFA"/>
    <w:rsid w:val="00253D37"/>
    <w:rsid w:val="00253E66"/>
    <w:rsid w:val="00254161"/>
    <w:rsid w:val="002543F1"/>
    <w:rsid w:val="002544DF"/>
    <w:rsid w:val="002545BE"/>
    <w:rsid w:val="0025465A"/>
    <w:rsid w:val="0025477E"/>
    <w:rsid w:val="00254A2E"/>
    <w:rsid w:val="00254F38"/>
    <w:rsid w:val="00254F54"/>
    <w:rsid w:val="00254FC2"/>
    <w:rsid w:val="00254FC3"/>
    <w:rsid w:val="00255265"/>
    <w:rsid w:val="002552CB"/>
    <w:rsid w:val="0025544F"/>
    <w:rsid w:val="002554BB"/>
    <w:rsid w:val="002556FC"/>
    <w:rsid w:val="0025582E"/>
    <w:rsid w:val="00255843"/>
    <w:rsid w:val="002558AA"/>
    <w:rsid w:val="002559DF"/>
    <w:rsid w:val="00255B1E"/>
    <w:rsid w:val="00255C84"/>
    <w:rsid w:val="00255E4D"/>
    <w:rsid w:val="00255FC9"/>
    <w:rsid w:val="0025603B"/>
    <w:rsid w:val="002561D5"/>
    <w:rsid w:val="0025626B"/>
    <w:rsid w:val="002562BE"/>
    <w:rsid w:val="0025633D"/>
    <w:rsid w:val="00256347"/>
    <w:rsid w:val="0025656B"/>
    <w:rsid w:val="002565CC"/>
    <w:rsid w:val="002566AF"/>
    <w:rsid w:val="002569B3"/>
    <w:rsid w:val="00256A25"/>
    <w:rsid w:val="00256C26"/>
    <w:rsid w:val="00256DEB"/>
    <w:rsid w:val="00256F3C"/>
    <w:rsid w:val="00257004"/>
    <w:rsid w:val="0025701F"/>
    <w:rsid w:val="002571B0"/>
    <w:rsid w:val="00257607"/>
    <w:rsid w:val="00257A04"/>
    <w:rsid w:val="00257B1B"/>
    <w:rsid w:val="00257CE5"/>
    <w:rsid w:val="00257E51"/>
    <w:rsid w:val="00257EC1"/>
    <w:rsid w:val="00257F3C"/>
    <w:rsid w:val="00257F4D"/>
    <w:rsid w:val="002601F0"/>
    <w:rsid w:val="0026078B"/>
    <w:rsid w:val="002607E3"/>
    <w:rsid w:val="00260BA1"/>
    <w:rsid w:val="00260BBD"/>
    <w:rsid w:val="0026115F"/>
    <w:rsid w:val="00261210"/>
    <w:rsid w:val="0026136D"/>
    <w:rsid w:val="0026149D"/>
    <w:rsid w:val="00261605"/>
    <w:rsid w:val="0026167A"/>
    <w:rsid w:val="0026168F"/>
    <w:rsid w:val="00261729"/>
    <w:rsid w:val="00261C46"/>
    <w:rsid w:val="00261C87"/>
    <w:rsid w:val="00262146"/>
    <w:rsid w:val="00262193"/>
    <w:rsid w:val="002621AC"/>
    <w:rsid w:val="00262274"/>
    <w:rsid w:val="002627D8"/>
    <w:rsid w:val="00262944"/>
    <w:rsid w:val="002629FA"/>
    <w:rsid w:val="00262AB6"/>
    <w:rsid w:val="00262B96"/>
    <w:rsid w:val="00262B99"/>
    <w:rsid w:val="00262CAB"/>
    <w:rsid w:val="00262F1B"/>
    <w:rsid w:val="00263198"/>
    <w:rsid w:val="002631DE"/>
    <w:rsid w:val="002634D2"/>
    <w:rsid w:val="002636D7"/>
    <w:rsid w:val="00263CA8"/>
    <w:rsid w:val="00264083"/>
    <w:rsid w:val="0026435E"/>
    <w:rsid w:val="00264436"/>
    <w:rsid w:val="0026496B"/>
    <w:rsid w:val="00264A07"/>
    <w:rsid w:val="00264A85"/>
    <w:rsid w:val="00264BBF"/>
    <w:rsid w:val="00264DAB"/>
    <w:rsid w:val="00264DD1"/>
    <w:rsid w:val="00264DF0"/>
    <w:rsid w:val="0026529A"/>
    <w:rsid w:val="002652BD"/>
    <w:rsid w:val="002653AF"/>
    <w:rsid w:val="00265683"/>
    <w:rsid w:val="00265B63"/>
    <w:rsid w:val="00265C99"/>
    <w:rsid w:val="00265E93"/>
    <w:rsid w:val="00266328"/>
    <w:rsid w:val="00266381"/>
    <w:rsid w:val="0026656C"/>
    <w:rsid w:val="002669BB"/>
    <w:rsid w:val="00266A92"/>
    <w:rsid w:val="00266DBF"/>
    <w:rsid w:val="00266DCC"/>
    <w:rsid w:val="00266E3B"/>
    <w:rsid w:val="00266F13"/>
    <w:rsid w:val="00266F55"/>
    <w:rsid w:val="00266FA0"/>
    <w:rsid w:val="00267017"/>
    <w:rsid w:val="002670C0"/>
    <w:rsid w:val="002672A7"/>
    <w:rsid w:val="002674A0"/>
    <w:rsid w:val="002674DD"/>
    <w:rsid w:val="002678C5"/>
    <w:rsid w:val="00267B7E"/>
    <w:rsid w:val="00267C41"/>
    <w:rsid w:val="00267D06"/>
    <w:rsid w:val="00267D1B"/>
    <w:rsid w:val="00267F42"/>
    <w:rsid w:val="002700B1"/>
    <w:rsid w:val="0027029B"/>
    <w:rsid w:val="002703F2"/>
    <w:rsid w:val="00270415"/>
    <w:rsid w:val="0027052B"/>
    <w:rsid w:val="002707B7"/>
    <w:rsid w:val="00270845"/>
    <w:rsid w:val="002708DD"/>
    <w:rsid w:val="00270942"/>
    <w:rsid w:val="00270AC2"/>
    <w:rsid w:val="00270E85"/>
    <w:rsid w:val="0027104E"/>
    <w:rsid w:val="00271226"/>
    <w:rsid w:val="0027160D"/>
    <w:rsid w:val="00271C13"/>
    <w:rsid w:val="00271F5B"/>
    <w:rsid w:val="002722A9"/>
    <w:rsid w:val="0027250F"/>
    <w:rsid w:val="00272548"/>
    <w:rsid w:val="00272774"/>
    <w:rsid w:val="00272807"/>
    <w:rsid w:val="002728C0"/>
    <w:rsid w:val="00272AC1"/>
    <w:rsid w:val="00272AC5"/>
    <w:rsid w:val="00272C65"/>
    <w:rsid w:val="00272E06"/>
    <w:rsid w:val="0027307B"/>
    <w:rsid w:val="002732BD"/>
    <w:rsid w:val="002732CD"/>
    <w:rsid w:val="00273564"/>
    <w:rsid w:val="00273648"/>
    <w:rsid w:val="00273992"/>
    <w:rsid w:val="00273A49"/>
    <w:rsid w:val="00273BF3"/>
    <w:rsid w:val="00273C78"/>
    <w:rsid w:val="00273F4D"/>
    <w:rsid w:val="00274081"/>
    <w:rsid w:val="00274204"/>
    <w:rsid w:val="00274446"/>
    <w:rsid w:val="00274465"/>
    <w:rsid w:val="002745E6"/>
    <w:rsid w:val="002745EB"/>
    <w:rsid w:val="0027474D"/>
    <w:rsid w:val="0027480F"/>
    <w:rsid w:val="00274818"/>
    <w:rsid w:val="00274A36"/>
    <w:rsid w:val="00274ABD"/>
    <w:rsid w:val="00274C07"/>
    <w:rsid w:val="00274D6A"/>
    <w:rsid w:val="00274F17"/>
    <w:rsid w:val="002750CA"/>
    <w:rsid w:val="002750DE"/>
    <w:rsid w:val="0027518F"/>
    <w:rsid w:val="0027564F"/>
    <w:rsid w:val="00275762"/>
    <w:rsid w:val="00275898"/>
    <w:rsid w:val="002758AD"/>
    <w:rsid w:val="00275B21"/>
    <w:rsid w:val="00275BC1"/>
    <w:rsid w:val="00275CD1"/>
    <w:rsid w:val="00275D5E"/>
    <w:rsid w:val="002760FB"/>
    <w:rsid w:val="00276193"/>
    <w:rsid w:val="00276589"/>
    <w:rsid w:val="002766AD"/>
    <w:rsid w:val="00276972"/>
    <w:rsid w:val="002769E6"/>
    <w:rsid w:val="00276BA9"/>
    <w:rsid w:val="00276C42"/>
    <w:rsid w:val="00276EAF"/>
    <w:rsid w:val="00276EDF"/>
    <w:rsid w:val="002772A0"/>
    <w:rsid w:val="00277500"/>
    <w:rsid w:val="002775AB"/>
    <w:rsid w:val="00277A36"/>
    <w:rsid w:val="00277A4F"/>
    <w:rsid w:val="00277A66"/>
    <w:rsid w:val="00277D05"/>
    <w:rsid w:val="00277DAC"/>
    <w:rsid w:val="00280016"/>
    <w:rsid w:val="00280045"/>
    <w:rsid w:val="00280564"/>
    <w:rsid w:val="0028073D"/>
    <w:rsid w:val="00280829"/>
    <w:rsid w:val="002808A5"/>
    <w:rsid w:val="00280AB5"/>
    <w:rsid w:val="00280ABC"/>
    <w:rsid w:val="00280F38"/>
    <w:rsid w:val="00280FF2"/>
    <w:rsid w:val="0028101E"/>
    <w:rsid w:val="002814AB"/>
    <w:rsid w:val="002815DF"/>
    <w:rsid w:val="0028178F"/>
    <w:rsid w:val="00281881"/>
    <w:rsid w:val="00281A55"/>
    <w:rsid w:val="00281A96"/>
    <w:rsid w:val="00281A9B"/>
    <w:rsid w:val="00281C21"/>
    <w:rsid w:val="00281E3E"/>
    <w:rsid w:val="00281E50"/>
    <w:rsid w:val="0028207E"/>
    <w:rsid w:val="002820FB"/>
    <w:rsid w:val="00282128"/>
    <w:rsid w:val="00282174"/>
    <w:rsid w:val="0028222B"/>
    <w:rsid w:val="00282417"/>
    <w:rsid w:val="00282476"/>
    <w:rsid w:val="002824CC"/>
    <w:rsid w:val="00282812"/>
    <w:rsid w:val="00282A2E"/>
    <w:rsid w:val="00282C0E"/>
    <w:rsid w:val="00282C27"/>
    <w:rsid w:val="00282D57"/>
    <w:rsid w:val="00282E68"/>
    <w:rsid w:val="00282FA5"/>
    <w:rsid w:val="0028308F"/>
    <w:rsid w:val="002830B5"/>
    <w:rsid w:val="00283230"/>
    <w:rsid w:val="00283447"/>
    <w:rsid w:val="00283482"/>
    <w:rsid w:val="0028355C"/>
    <w:rsid w:val="002835DC"/>
    <w:rsid w:val="0028370D"/>
    <w:rsid w:val="00283758"/>
    <w:rsid w:val="00283810"/>
    <w:rsid w:val="0028381B"/>
    <w:rsid w:val="00283A33"/>
    <w:rsid w:val="00283A4A"/>
    <w:rsid w:val="00283FEC"/>
    <w:rsid w:val="00284245"/>
    <w:rsid w:val="002843A7"/>
    <w:rsid w:val="00284561"/>
    <w:rsid w:val="00284589"/>
    <w:rsid w:val="00284597"/>
    <w:rsid w:val="00284605"/>
    <w:rsid w:val="0028463B"/>
    <w:rsid w:val="00284670"/>
    <w:rsid w:val="002846A8"/>
    <w:rsid w:val="00284714"/>
    <w:rsid w:val="002847A7"/>
    <w:rsid w:val="002847CB"/>
    <w:rsid w:val="00284C7A"/>
    <w:rsid w:val="00284D1B"/>
    <w:rsid w:val="00284F55"/>
    <w:rsid w:val="0028522F"/>
    <w:rsid w:val="00285447"/>
    <w:rsid w:val="00285527"/>
    <w:rsid w:val="002855C6"/>
    <w:rsid w:val="00285934"/>
    <w:rsid w:val="00285B02"/>
    <w:rsid w:val="00285B7A"/>
    <w:rsid w:val="00285C01"/>
    <w:rsid w:val="00285D1A"/>
    <w:rsid w:val="00285E60"/>
    <w:rsid w:val="00285FA3"/>
    <w:rsid w:val="002861F4"/>
    <w:rsid w:val="002862EB"/>
    <w:rsid w:val="0028637B"/>
    <w:rsid w:val="00286386"/>
    <w:rsid w:val="00286591"/>
    <w:rsid w:val="002868B5"/>
    <w:rsid w:val="00286953"/>
    <w:rsid w:val="00286996"/>
    <w:rsid w:val="00286B5A"/>
    <w:rsid w:val="00286C54"/>
    <w:rsid w:val="00286C62"/>
    <w:rsid w:val="00286E5C"/>
    <w:rsid w:val="0028706A"/>
    <w:rsid w:val="00287194"/>
    <w:rsid w:val="00287331"/>
    <w:rsid w:val="00287371"/>
    <w:rsid w:val="002873BC"/>
    <w:rsid w:val="002873D0"/>
    <w:rsid w:val="00287511"/>
    <w:rsid w:val="002875FF"/>
    <w:rsid w:val="00287887"/>
    <w:rsid w:val="00287985"/>
    <w:rsid w:val="00287B84"/>
    <w:rsid w:val="00287BDB"/>
    <w:rsid w:val="00287D54"/>
    <w:rsid w:val="00287DDB"/>
    <w:rsid w:val="00287E14"/>
    <w:rsid w:val="00290117"/>
    <w:rsid w:val="00290118"/>
    <w:rsid w:val="00290562"/>
    <w:rsid w:val="00290598"/>
    <w:rsid w:val="002905E9"/>
    <w:rsid w:val="002906DC"/>
    <w:rsid w:val="0029072B"/>
    <w:rsid w:val="00290902"/>
    <w:rsid w:val="0029095E"/>
    <w:rsid w:val="002909D1"/>
    <w:rsid w:val="00290BF1"/>
    <w:rsid w:val="002910B4"/>
    <w:rsid w:val="00291103"/>
    <w:rsid w:val="0029129C"/>
    <w:rsid w:val="00291450"/>
    <w:rsid w:val="002914FD"/>
    <w:rsid w:val="002915E7"/>
    <w:rsid w:val="0029163A"/>
    <w:rsid w:val="0029163D"/>
    <w:rsid w:val="00291687"/>
    <w:rsid w:val="00291736"/>
    <w:rsid w:val="00291AFD"/>
    <w:rsid w:val="00291B3C"/>
    <w:rsid w:val="00291CD8"/>
    <w:rsid w:val="00292174"/>
    <w:rsid w:val="0029222A"/>
    <w:rsid w:val="00292410"/>
    <w:rsid w:val="00292454"/>
    <w:rsid w:val="00292629"/>
    <w:rsid w:val="002927BD"/>
    <w:rsid w:val="00292A28"/>
    <w:rsid w:val="00292B24"/>
    <w:rsid w:val="00292EAE"/>
    <w:rsid w:val="00292F07"/>
    <w:rsid w:val="00292F0F"/>
    <w:rsid w:val="00292F88"/>
    <w:rsid w:val="00293233"/>
    <w:rsid w:val="002932E7"/>
    <w:rsid w:val="00293599"/>
    <w:rsid w:val="00293780"/>
    <w:rsid w:val="002937C4"/>
    <w:rsid w:val="00293924"/>
    <w:rsid w:val="00293AB8"/>
    <w:rsid w:val="00293BEA"/>
    <w:rsid w:val="00293CC1"/>
    <w:rsid w:val="00293D9B"/>
    <w:rsid w:val="00293DD5"/>
    <w:rsid w:val="00294015"/>
    <w:rsid w:val="002945B5"/>
    <w:rsid w:val="002946E0"/>
    <w:rsid w:val="002947D0"/>
    <w:rsid w:val="002949A0"/>
    <w:rsid w:val="00294B5B"/>
    <w:rsid w:val="00294B9F"/>
    <w:rsid w:val="00294C64"/>
    <w:rsid w:val="00294D59"/>
    <w:rsid w:val="00294F6B"/>
    <w:rsid w:val="002951F8"/>
    <w:rsid w:val="002953C5"/>
    <w:rsid w:val="002956F8"/>
    <w:rsid w:val="00295764"/>
    <w:rsid w:val="002957AE"/>
    <w:rsid w:val="0029599B"/>
    <w:rsid w:val="00295A87"/>
    <w:rsid w:val="00295AB1"/>
    <w:rsid w:val="00295B75"/>
    <w:rsid w:val="00295D15"/>
    <w:rsid w:val="00295D7C"/>
    <w:rsid w:val="00295DB0"/>
    <w:rsid w:val="00295E77"/>
    <w:rsid w:val="00295F4D"/>
    <w:rsid w:val="0029615A"/>
    <w:rsid w:val="00296169"/>
    <w:rsid w:val="002963C7"/>
    <w:rsid w:val="00296445"/>
    <w:rsid w:val="00296494"/>
    <w:rsid w:val="002966FE"/>
    <w:rsid w:val="0029672F"/>
    <w:rsid w:val="00296B4C"/>
    <w:rsid w:val="00296FF4"/>
    <w:rsid w:val="0029713B"/>
    <w:rsid w:val="00297253"/>
    <w:rsid w:val="00297309"/>
    <w:rsid w:val="0029730F"/>
    <w:rsid w:val="00297808"/>
    <w:rsid w:val="002978EE"/>
    <w:rsid w:val="002979E1"/>
    <w:rsid w:val="00297BA4"/>
    <w:rsid w:val="00297CC3"/>
    <w:rsid w:val="00297D3A"/>
    <w:rsid w:val="00297DFA"/>
    <w:rsid w:val="00297FA4"/>
    <w:rsid w:val="002A0056"/>
    <w:rsid w:val="002A014F"/>
    <w:rsid w:val="002A0247"/>
    <w:rsid w:val="002A0435"/>
    <w:rsid w:val="002A04D4"/>
    <w:rsid w:val="002A06D4"/>
    <w:rsid w:val="002A08C9"/>
    <w:rsid w:val="002A0996"/>
    <w:rsid w:val="002A0CC2"/>
    <w:rsid w:val="002A0E42"/>
    <w:rsid w:val="002A1173"/>
    <w:rsid w:val="002A1322"/>
    <w:rsid w:val="002A163D"/>
    <w:rsid w:val="002A1779"/>
    <w:rsid w:val="002A18B5"/>
    <w:rsid w:val="002A1A6B"/>
    <w:rsid w:val="002A1AE3"/>
    <w:rsid w:val="002A1E0E"/>
    <w:rsid w:val="002A1EF7"/>
    <w:rsid w:val="002A2025"/>
    <w:rsid w:val="002A22B2"/>
    <w:rsid w:val="002A244F"/>
    <w:rsid w:val="002A262E"/>
    <w:rsid w:val="002A28D3"/>
    <w:rsid w:val="002A291F"/>
    <w:rsid w:val="002A2ABF"/>
    <w:rsid w:val="002A2C43"/>
    <w:rsid w:val="002A2CFB"/>
    <w:rsid w:val="002A2ECA"/>
    <w:rsid w:val="002A31CF"/>
    <w:rsid w:val="002A31E3"/>
    <w:rsid w:val="002A3565"/>
    <w:rsid w:val="002A37F7"/>
    <w:rsid w:val="002A3A02"/>
    <w:rsid w:val="002A3A1D"/>
    <w:rsid w:val="002A3AD6"/>
    <w:rsid w:val="002A3C3C"/>
    <w:rsid w:val="002A3D66"/>
    <w:rsid w:val="002A3E13"/>
    <w:rsid w:val="002A3E21"/>
    <w:rsid w:val="002A3F01"/>
    <w:rsid w:val="002A40CB"/>
    <w:rsid w:val="002A4310"/>
    <w:rsid w:val="002A4426"/>
    <w:rsid w:val="002A4635"/>
    <w:rsid w:val="002A46F2"/>
    <w:rsid w:val="002A4A62"/>
    <w:rsid w:val="002A4EAA"/>
    <w:rsid w:val="002A4EDA"/>
    <w:rsid w:val="002A4FA5"/>
    <w:rsid w:val="002A4FC7"/>
    <w:rsid w:val="002A51CD"/>
    <w:rsid w:val="002A525C"/>
    <w:rsid w:val="002A5346"/>
    <w:rsid w:val="002A54C2"/>
    <w:rsid w:val="002A56C7"/>
    <w:rsid w:val="002A5A5B"/>
    <w:rsid w:val="002A5DC7"/>
    <w:rsid w:val="002A5FFB"/>
    <w:rsid w:val="002A6206"/>
    <w:rsid w:val="002A63B7"/>
    <w:rsid w:val="002A63F1"/>
    <w:rsid w:val="002A6413"/>
    <w:rsid w:val="002A6419"/>
    <w:rsid w:val="002A6455"/>
    <w:rsid w:val="002A6487"/>
    <w:rsid w:val="002A673B"/>
    <w:rsid w:val="002A6876"/>
    <w:rsid w:val="002A6902"/>
    <w:rsid w:val="002A6A4E"/>
    <w:rsid w:val="002A6F8C"/>
    <w:rsid w:val="002A72E7"/>
    <w:rsid w:val="002A7325"/>
    <w:rsid w:val="002A7327"/>
    <w:rsid w:val="002A752F"/>
    <w:rsid w:val="002A7536"/>
    <w:rsid w:val="002A78DF"/>
    <w:rsid w:val="002A79C7"/>
    <w:rsid w:val="002A7A1C"/>
    <w:rsid w:val="002A7E5D"/>
    <w:rsid w:val="002B0098"/>
    <w:rsid w:val="002B00FE"/>
    <w:rsid w:val="002B0197"/>
    <w:rsid w:val="002B044C"/>
    <w:rsid w:val="002B05B4"/>
    <w:rsid w:val="002B0671"/>
    <w:rsid w:val="002B0AC2"/>
    <w:rsid w:val="002B0DDE"/>
    <w:rsid w:val="002B1015"/>
    <w:rsid w:val="002B1536"/>
    <w:rsid w:val="002B15C5"/>
    <w:rsid w:val="002B16F2"/>
    <w:rsid w:val="002B1730"/>
    <w:rsid w:val="002B17A9"/>
    <w:rsid w:val="002B18D2"/>
    <w:rsid w:val="002B1A4C"/>
    <w:rsid w:val="002B1C75"/>
    <w:rsid w:val="002B1C8A"/>
    <w:rsid w:val="002B1CD3"/>
    <w:rsid w:val="002B1D7E"/>
    <w:rsid w:val="002B1E25"/>
    <w:rsid w:val="002B1E6B"/>
    <w:rsid w:val="002B1F1E"/>
    <w:rsid w:val="002B1F29"/>
    <w:rsid w:val="002B2013"/>
    <w:rsid w:val="002B2178"/>
    <w:rsid w:val="002B2240"/>
    <w:rsid w:val="002B22E8"/>
    <w:rsid w:val="002B2304"/>
    <w:rsid w:val="002B241B"/>
    <w:rsid w:val="002B2815"/>
    <w:rsid w:val="002B282F"/>
    <w:rsid w:val="002B2E0B"/>
    <w:rsid w:val="002B31FA"/>
    <w:rsid w:val="002B323D"/>
    <w:rsid w:val="002B356C"/>
    <w:rsid w:val="002B363E"/>
    <w:rsid w:val="002B3751"/>
    <w:rsid w:val="002B3B34"/>
    <w:rsid w:val="002B3B5B"/>
    <w:rsid w:val="002B3BEE"/>
    <w:rsid w:val="002B3E3F"/>
    <w:rsid w:val="002B3FEF"/>
    <w:rsid w:val="002B4065"/>
    <w:rsid w:val="002B4098"/>
    <w:rsid w:val="002B40B2"/>
    <w:rsid w:val="002B40C6"/>
    <w:rsid w:val="002B4101"/>
    <w:rsid w:val="002B421E"/>
    <w:rsid w:val="002B42F3"/>
    <w:rsid w:val="002B4356"/>
    <w:rsid w:val="002B454E"/>
    <w:rsid w:val="002B4690"/>
    <w:rsid w:val="002B4762"/>
    <w:rsid w:val="002B47E0"/>
    <w:rsid w:val="002B4C82"/>
    <w:rsid w:val="002B4FD5"/>
    <w:rsid w:val="002B505D"/>
    <w:rsid w:val="002B50DE"/>
    <w:rsid w:val="002B5112"/>
    <w:rsid w:val="002B53FB"/>
    <w:rsid w:val="002B55E3"/>
    <w:rsid w:val="002B56EA"/>
    <w:rsid w:val="002B5828"/>
    <w:rsid w:val="002B59C9"/>
    <w:rsid w:val="002B5C7C"/>
    <w:rsid w:val="002B5F80"/>
    <w:rsid w:val="002B606F"/>
    <w:rsid w:val="002B6085"/>
    <w:rsid w:val="002B6196"/>
    <w:rsid w:val="002B619A"/>
    <w:rsid w:val="002B6202"/>
    <w:rsid w:val="002B6533"/>
    <w:rsid w:val="002B665D"/>
    <w:rsid w:val="002B6695"/>
    <w:rsid w:val="002B68FE"/>
    <w:rsid w:val="002B6A91"/>
    <w:rsid w:val="002B6C28"/>
    <w:rsid w:val="002B6CB1"/>
    <w:rsid w:val="002B6DC4"/>
    <w:rsid w:val="002B6E95"/>
    <w:rsid w:val="002B70F7"/>
    <w:rsid w:val="002B7100"/>
    <w:rsid w:val="002B7104"/>
    <w:rsid w:val="002B72CD"/>
    <w:rsid w:val="002B73AB"/>
    <w:rsid w:val="002B73AE"/>
    <w:rsid w:val="002B749E"/>
    <w:rsid w:val="002B755D"/>
    <w:rsid w:val="002B7753"/>
    <w:rsid w:val="002B78FB"/>
    <w:rsid w:val="002B796C"/>
    <w:rsid w:val="002B7AC6"/>
    <w:rsid w:val="002B7D92"/>
    <w:rsid w:val="002B7EBF"/>
    <w:rsid w:val="002C0A39"/>
    <w:rsid w:val="002C0C90"/>
    <w:rsid w:val="002C0D5F"/>
    <w:rsid w:val="002C0EB1"/>
    <w:rsid w:val="002C1027"/>
    <w:rsid w:val="002C10A1"/>
    <w:rsid w:val="002C10F5"/>
    <w:rsid w:val="002C13C6"/>
    <w:rsid w:val="002C1567"/>
    <w:rsid w:val="002C1596"/>
    <w:rsid w:val="002C159E"/>
    <w:rsid w:val="002C16DB"/>
    <w:rsid w:val="002C1878"/>
    <w:rsid w:val="002C18D2"/>
    <w:rsid w:val="002C19D3"/>
    <w:rsid w:val="002C1BE7"/>
    <w:rsid w:val="002C1C3E"/>
    <w:rsid w:val="002C1CA9"/>
    <w:rsid w:val="002C1CD6"/>
    <w:rsid w:val="002C1EDB"/>
    <w:rsid w:val="002C20D1"/>
    <w:rsid w:val="002C2209"/>
    <w:rsid w:val="002C2358"/>
    <w:rsid w:val="002C23DA"/>
    <w:rsid w:val="002C24F5"/>
    <w:rsid w:val="002C2779"/>
    <w:rsid w:val="002C2827"/>
    <w:rsid w:val="002C2BFE"/>
    <w:rsid w:val="002C2CF0"/>
    <w:rsid w:val="002C2D77"/>
    <w:rsid w:val="002C2DAF"/>
    <w:rsid w:val="002C34ED"/>
    <w:rsid w:val="002C35E2"/>
    <w:rsid w:val="002C3811"/>
    <w:rsid w:val="002C388C"/>
    <w:rsid w:val="002C38E7"/>
    <w:rsid w:val="002C3B1A"/>
    <w:rsid w:val="002C3B1B"/>
    <w:rsid w:val="002C3BEB"/>
    <w:rsid w:val="002C3C3F"/>
    <w:rsid w:val="002C3EB3"/>
    <w:rsid w:val="002C3F6E"/>
    <w:rsid w:val="002C40F2"/>
    <w:rsid w:val="002C41E2"/>
    <w:rsid w:val="002C4238"/>
    <w:rsid w:val="002C44CC"/>
    <w:rsid w:val="002C44F9"/>
    <w:rsid w:val="002C4616"/>
    <w:rsid w:val="002C49FE"/>
    <w:rsid w:val="002C4DD3"/>
    <w:rsid w:val="002C5182"/>
    <w:rsid w:val="002C520D"/>
    <w:rsid w:val="002C52BD"/>
    <w:rsid w:val="002C5344"/>
    <w:rsid w:val="002C546F"/>
    <w:rsid w:val="002C54DB"/>
    <w:rsid w:val="002C5580"/>
    <w:rsid w:val="002C5654"/>
    <w:rsid w:val="002C5D6D"/>
    <w:rsid w:val="002C5F62"/>
    <w:rsid w:val="002C6006"/>
    <w:rsid w:val="002C6043"/>
    <w:rsid w:val="002C605F"/>
    <w:rsid w:val="002C6102"/>
    <w:rsid w:val="002C62A5"/>
    <w:rsid w:val="002C63DF"/>
    <w:rsid w:val="002C649C"/>
    <w:rsid w:val="002C64F3"/>
    <w:rsid w:val="002C6544"/>
    <w:rsid w:val="002C6689"/>
    <w:rsid w:val="002C67AC"/>
    <w:rsid w:val="002C6966"/>
    <w:rsid w:val="002C6A82"/>
    <w:rsid w:val="002C6D82"/>
    <w:rsid w:val="002C6E3A"/>
    <w:rsid w:val="002C6E82"/>
    <w:rsid w:val="002C6E98"/>
    <w:rsid w:val="002C6F50"/>
    <w:rsid w:val="002C6FF6"/>
    <w:rsid w:val="002C711A"/>
    <w:rsid w:val="002C7291"/>
    <w:rsid w:val="002C72FE"/>
    <w:rsid w:val="002C7370"/>
    <w:rsid w:val="002C74B9"/>
    <w:rsid w:val="002C7541"/>
    <w:rsid w:val="002C75BC"/>
    <w:rsid w:val="002C76EB"/>
    <w:rsid w:val="002C7742"/>
    <w:rsid w:val="002C78B9"/>
    <w:rsid w:val="002C79B1"/>
    <w:rsid w:val="002C7AE0"/>
    <w:rsid w:val="002C7CE3"/>
    <w:rsid w:val="002C7D8B"/>
    <w:rsid w:val="002C7DD0"/>
    <w:rsid w:val="002C7FA2"/>
    <w:rsid w:val="002D0113"/>
    <w:rsid w:val="002D013D"/>
    <w:rsid w:val="002D048E"/>
    <w:rsid w:val="002D0547"/>
    <w:rsid w:val="002D069D"/>
    <w:rsid w:val="002D06B7"/>
    <w:rsid w:val="002D0856"/>
    <w:rsid w:val="002D0AAA"/>
    <w:rsid w:val="002D0BAF"/>
    <w:rsid w:val="002D0E05"/>
    <w:rsid w:val="002D0E08"/>
    <w:rsid w:val="002D0ECA"/>
    <w:rsid w:val="002D0F93"/>
    <w:rsid w:val="002D1274"/>
    <w:rsid w:val="002D1471"/>
    <w:rsid w:val="002D14D3"/>
    <w:rsid w:val="002D1B7C"/>
    <w:rsid w:val="002D1BE5"/>
    <w:rsid w:val="002D1C98"/>
    <w:rsid w:val="002D1D3F"/>
    <w:rsid w:val="002D1EB1"/>
    <w:rsid w:val="002D1EF1"/>
    <w:rsid w:val="002D203F"/>
    <w:rsid w:val="002D206E"/>
    <w:rsid w:val="002D208D"/>
    <w:rsid w:val="002D208F"/>
    <w:rsid w:val="002D237C"/>
    <w:rsid w:val="002D23F1"/>
    <w:rsid w:val="002D26C5"/>
    <w:rsid w:val="002D2821"/>
    <w:rsid w:val="002D293C"/>
    <w:rsid w:val="002D2953"/>
    <w:rsid w:val="002D2B11"/>
    <w:rsid w:val="002D2B9F"/>
    <w:rsid w:val="002D2C62"/>
    <w:rsid w:val="002D2CBB"/>
    <w:rsid w:val="002D2EDE"/>
    <w:rsid w:val="002D2FCC"/>
    <w:rsid w:val="002D2FF7"/>
    <w:rsid w:val="002D313D"/>
    <w:rsid w:val="002D3271"/>
    <w:rsid w:val="002D33E2"/>
    <w:rsid w:val="002D3456"/>
    <w:rsid w:val="002D3543"/>
    <w:rsid w:val="002D3580"/>
    <w:rsid w:val="002D3612"/>
    <w:rsid w:val="002D37A7"/>
    <w:rsid w:val="002D37CF"/>
    <w:rsid w:val="002D38DC"/>
    <w:rsid w:val="002D3967"/>
    <w:rsid w:val="002D3AED"/>
    <w:rsid w:val="002D3C31"/>
    <w:rsid w:val="002D3D06"/>
    <w:rsid w:val="002D3EEB"/>
    <w:rsid w:val="002D3F15"/>
    <w:rsid w:val="002D41CE"/>
    <w:rsid w:val="002D420C"/>
    <w:rsid w:val="002D4281"/>
    <w:rsid w:val="002D42DF"/>
    <w:rsid w:val="002D4552"/>
    <w:rsid w:val="002D455D"/>
    <w:rsid w:val="002D469B"/>
    <w:rsid w:val="002D4715"/>
    <w:rsid w:val="002D48F2"/>
    <w:rsid w:val="002D4928"/>
    <w:rsid w:val="002D4D90"/>
    <w:rsid w:val="002D4FB3"/>
    <w:rsid w:val="002D4FC7"/>
    <w:rsid w:val="002D5165"/>
    <w:rsid w:val="002D51FA"/>
    <w:rsid w:val="002D5268"/>
    <w:rsid w:val="002D538D"/>
    <w:rsid w:val="002D54CC"/>
    <w:rsid w:val="002D553A"/>
    <w:rsid w:val="002D5654"/>
    <w:rsid w:val="002D588E"/>
    <w:rsid w:val="002D58C7"/>
    <w:rsid w:val="002D593C"/>
    <w:rsid w:val="002D5ACE"/>
    <w:rsid w:val="002D5B39"/>
    <w:rsid w:val="002D5C16"/>
    <w:rsid w:val="002D5E38"/>
    <w:rsid w:val="002D5E70"/>
    <w:rsid w:val="002D6107"/>
    <w:rsid w:val="002D6227"/>
    <w:rsid w:val="002D65B8"/>
    <w:rsid w:val="002D6607"/>
    <w:rsid w:val="002D679B"/>
    <w:rsid w:val="002D6C3E"/>
    <w:rsid w:val="002D6F32"/>
    <w:rsid w:val="002D6FA9"/>
    <w:rsid w:val="002D6FF8"/>
    <w:rsid w:val="002D700E"/>
    <w:rsid w:val="002D7345"/>
    <w:rsid w:val="002D7505"/>
    <w:rsid w:val="002D7652"/>
    <w:rsid w:val="002D780A"/>
    <w:rsid w:val="002D78F6"/>
    <w:rsid w:val="002D7A30"/>
    <w:rsid w:val="002D7AA4"/>
    <w:rsid w:val="002D7EA2"/>
    <w:rsid w:val="002DBE68"/>
    <w:rsid w:val="002E0346"/>
    <w:rsid w:val="002E03D2"/>
    <w:rsid w:val="002E05CB"/>
    <w:rsid w:val="002E065D"/>
    <w:rsid w:val="002E0806"/>
    <w:rsid w:val="002E09BD"/>
    <w:rsid w:val="002E0BF0"/>
    <w:rsid w:val="002E0C5F"/>
    <w:rsid w:val="002E0D19"/>
    <w:rsid w:val="002E0DD8"/>
    <w:rsid w:val="002E0F0D"/>
    <w:rsid w:val="002E104E"/>
    <w:rsid w:val="002E1081"/>
    <w:rsid w:val="002E1088"/>
    <w:rsid w:val="002E1171"/>
    <w:rsid w:val="002E121C"/>
    <w:rsid w:val="002E1367"/>
    <w:rsid w:val="002E161E"/>
    <w:rsid w:val="002E163A"/>
    <w:rsid w:val="002E19A7"/>
    <w:rsid w:val="002E1A2D"/>
    <w:rsid w:val="002E1A89"/>
    <w:rsid w:val="002E1D2A"/>
    <w:rsid w:val="002E1D4A"/>
    <w:rsid w:val="002E1DA9"/>
    <w:rsid w:val="002E1EBC"/>
    <w:rsid w:val="002E1ECD"/>
    <w:rsid w:val="002E2303"/>
    <w:rsid w:val="002E23E2"/>
    <w:rsid w:val="002E241A"/>
    <w:rsid w:val="002E24B4"/>
    <w:rsid w:val="002E2505"/>
    <w:rsid w:val="002E2741"/>
    <w:rsid w:val="002E2A26"/>
    <w:rsid w:val="002E2C69"/>
    <w:rsid w:val="002E3023"/>
    <w:rsid w:val="002E31C6"/>
    <w:rsid w:val="002E32E1"/>
    <w:rsid w:val="002E344F"/>
    <w:rsid w:val="002E3484"/>
    <w:rsid w:val="002E3608"/>
    <w:rsid w:val="002E3627"/>
    <w:rsid w:val="002E3639"/>
    <w:rsid w:val="002E3764"/>
    <w:rsid w:val="002E3788"/>
    <w:rsid w:val="002E3819"/>
    <w:rsid w:val="002E38A9"/>
    <w:rsid w:val="002E3976"/>
    <w:rsid w:val="002E3B73"/>
    <w:rsid w:val="002E3D40"/>
    <w:rsid w:val="002E3E0A"/>
    <w:rsid w:val="002E3FDC"/>
    <w:rsid w:val="002E4143"/>
    <w:rsid w:val="002E416F"/>
    <w:rsid w:val="002E41A5"/>
    <w:rsid w:val="002E43D6"/>
    <w:rsid w:val="002E4575"/>
    <w:rsid w:val="002E45AF"/>
    <w:rsid w:val="002E45DF"/>
    <w:rsid w:val="002E4832"/>
    <w:rsid w:val="002E4A72"/>
    <w:rsid w:val="002E4A8A"/>
    <w:rsid w:val="002E4B1A"/>
    <w:rsid w:val="002E4B6E"/>
    <w:rsid w:val="002E4DCC"/>
    <w:rsid w:val="002E4F1F"/>
    <w:rsid w:val="002E5489"/>
    <w:rsid w:val="002E582D"/>
    <w:rsid w:val="002E5A75"/>
    <w:rsid w:val="002E5CBD"/>
    <w:rsid w:val="002E6044"/>
    <w:rsid w:val="002E60E2"/>
    <w:rsid w:val="002E62DA"/>
    <w:rsid w:val="002E6989"/>
    <w:rsid w:val="002E6A33"/>
    <w:rsid w:val="002E6B21"/>
    <w:rsid w:val="002E7097"/>
    <w:rsid w:val="002E70FB"/>
    <w:rsid w:val="002E76D1"/>
    <w:rsid w:val="002E7792"/>
    <w:rsid w:val="002E794F"/>
    <w:rsid w:val="002E7955"/>
    <w:rsid w:val="002E797E"/>
    <w:rsid w:val="002E7C4B"/>
    <w:rsid w:val="002E7CDB"/>
    <w:rsid w:val="002E7D06"/>
    <w:rsid w:val="002E7F32"/>
    <w:rsid w:val="002F000D"/>
    <w:rsid w:val="002F00EF"/>
    <w:rsid w:val="002F0378"/>
    <w:rsid w:val="002F0472"/>
    <w:rsid w:val="002F04BE"/>
    <w:rsid w:val="002F061B"/>
    <w:rsid w:val="002F06B4"/>
    <w:rsid w:val="002F07E9"/>
    <w:rsid w:val="002F0904"/>
    <w:rsid w:val="002F0E76"/>
    <w:rsid w:val="002F0EAD"/>
    <w:rsid w:val="002F0F2C"/>
    <w:rsid w:val="002F0F5C"/>
    <w:rsid w:val="002F10E6"/>
    <w:rsid w:val="002F116F"/>
    <w:rsid w:val="002F135E"/>
    <w:rsid w:val="002F15A3"/>
    <w:rsid w:val="002F17ED"/>
    <w:rsid w:val="002F186B"/>
    <w:rsid w:val="002F1E80"/>
    <w:rsid w:val="002F1F4F"/>
    <w:rsid w:val="002F206D"/>
    <w:rsid w:val="002F216E"/>
    <w:rsid w:val="002F2264"/>
    <w:rsid w:val="002F22E5"/>
    <w:rsid w:val="002F2551"/>
    <w:rsid w:val="002F257E"/>
    <w:rsid w:val="002F266E"/>
    <w:rsid w:val="002F2690"/>
    <w:rsid w:val="002F2725"/>
    <w:rsid w:val="002F2796"/>
    <w:rsid w:val="002F293D"/>
    <w:rsid w:val="002F2A1B"/>
    <w:rsid w:val="002F2ADB"/>
    <w:rsid w:val="002F2CCC"/>
    <w:rsid w:val="002F2D9F"/>
    <w:rsid w:val="002F2F0F"/>
    <w:rsid w:val="002F2FAD"/>
    <w:rsid w:val="002F32A0"/>
    <w:rsid w:val="002F3375"/>
    <w:rsid w:val="002F352F"/>
    <w:rsid w:val="002F36B7"/>
    <w:rsid w:val="002F37E3"/>
    <w:rsid w:val="002F380F"/>
    <w:rsid w:val="002F3B02"/>
    <w:rsid w:val="002F3BA0"/>
    <w:rsid w:val="002F3D6E"/>
    <w:rsid w:val="002F3F7D"/>
    <w:rsid w:val="002F41A9"/>
    <w:rsid w:val="002F42BB"/>
    <w:rsid w:val="002F4445"/>
    <w:rsid w:val="002F44DC"/>
    <w:rsid w:val="002F4548"/>
    <w:rsid w:val="002F4577"/>
    <w:rsid w:val="002F459A"/>
    <w:rsid w:val="002F4636"/>
    <w:rsid w:val="002F4730"/>
    <w:rsid w:val="002F4785"/>
    <w:rsid w:val="002F48CE"/>
    <w:rsid w:val="002F4BD8"/>
    <w:rsid w:val="002F4BFE"/>
    <w:rsid w:val="002F4C9D"/>
    <w:rsid w:val="002F4CC2"/>
    <w:rsid w:val="002F500B"/>
    <w:rsid w:val="002F5072"/>
    <w:rsid w:val="002F5369"/>
    <w:rsid w:val="002F562E"/>
    <w:rsid w:val="002F56D7"/>
    <w:rsid w:val="002F5720"/>
    <w:rsid w:val="002F5759"/>
    <w:rsid w:val="002F5787"/>
    <w:rsid w:val="002F5910"/>
    <w:rsid w:val="002F59B1"/>
    <w:rsid w:val="002F5C76"/>
    <w:rsid w:val="002F5CD5"/>
    <w:rsid w:val="002F5DA3"/>
    <w:rsid w:val="002F5DE1"/>
    <w:rsid w:val="002F5FB4"/>
    <w:rsid w:val="002F6045"/>
    <w:rsid w:val="002F604C"/>
    <w:rsid w:val="002F6319"/>
    <w:rsid w:val="002F66E0"/>
    <w:rsid w:val="002F66F3"/>
    <w:rsid w:val="002F6BA4"/>
    <w:rsid w:val="002F6FF8"/>
    <w:rsid w:val="002F7043"/>
    <w:rsid w:val="002F7162"/>
    <w:rsid w:val="002F736D"/>
    <w:rsid w:val="002F73D3"/>
    <w:rsid w:val="002F74A6"/>
    <w:rsid w:val="002F75C4"/>
    <w:rsid w:val="002F7736"/>
    <w:rsid w:val="002F776D"/>
    <w:rsid w:val="002F7D8C"/>
    <w:rsid w:val="002F7E09"/>
    <w:rsid w:val="002F7E80"/>
    <w:rsid w:val="00300231"/>
    <w:rsid w:val="003002A1"/>
    <w:rsid w:val="003002E0"/>
    <w:rsid w:val="003002ED"/>
    <w:rsid w:val="00300332"/>
    <w:rsid w:val="003004BF"/>
    <w:rsid w:val="00300554"/>
    <w:rsid w:val="003006CC"/>
    <w:rsid w:val="00300C3F"/>
    <w:rsid w:val="00300E97"/>
    <w:rsid w:val="0030104A"/>
    <w:rsid w:val="00301218"/>
    <w:rsid w:val="0030150B"/>
    <w:rsid w:val="00301731"/>
    <w:rsid w:val="00301BAF"/>
    <w:rsid w:val="00301BF0"/>
    <w:rsid w:val="00301CFD"/>
    <w:rsid w:val="00301D71"/>
    <w:rsid w:val="00301DED"/>
    <w:rsid w:val="00301EF0"/>
    <w:rsid w:val="00301F4E"/>
    <w:rsid w:val="00301F6F"/>
    <w:rsid w:val="003020B3"/>
    <w:rsid w:val="00302425"/>
    <w:rsid w:val="003025D8"/>
    <w:rsid w:val="00302820"/>
    <w:rsid w:val="003028DD"/>
    <w:rsid w:val="00302AE0"/>
    <w:rsid w:val="003030A8"/>
    <w:rsid w:val="003030F3"/>
    <w:rsid w:val="00303205"/>
    <w:rsid w:val="0030355C"/>
    <w:rsid w:val="00303666"/>
    <w:rsid w:val="00303670"/>
    <w:rsid w:val="00303712"/>
    <w:rsid w:val="00303740"/>
    <w:rsid w:val="00303986"/>
    <w:rsid w:val="00303BBA"/>
    <w:rsid w:val="00303BD0"/>
    <w:rsid w:val="00303F02"/>
    <w:rsid w:val="00304068"/>
    <w:rsid w:val="003045DB"/>
    <w:rsid w:val="00304682"/>
    <w:rsid w:val="003048BD"/>
    <w:rsid w:val="00304AE3"/>
    <w:rsid w:val="00304C85"/>
    <w:rsid w:val="00304DE9"/>
    <w:rsid w:val="00304FA1"/>
    <w:rsid w:val="00305031"/>
    <w:rsid w:val="0030516B"/>
    <w:rsid w:val="0030520C"/>
    <w:rsid w:val="0030530E"/>
    <w:rsid w:val="00305441"/>
    <w:rsid w:val="0030546C"/>
    <w:rsid w:val="00305605"/>
    <w:rsid w:val="003057FF"/>
    <w:rsid w:val="003059A3"/>
    <w:rsid w:val="00305A6C"/>
    <w:rsid w:val="00305AEA"/>
    <w:rsid w:val="00305C22"/>
    <w:rsid w:val="00305ED2"/>
    <w:rsid w:val="00305F30"/>
    <w:rsid w:val="003060F5"/>
    <w:rsid w:val="00306128"/>
    <w:rsid w:val="0030613C"/>
    <w:rsid w:val="0030641D"/>
    <w:rsid w:val="003065B7"/>
    <w:rsid w:val="003065D5"/>
    <w:rsid w:val="00306613"/>
    <w:rsid w:val="003066AD"/>
    <w:rsid w:val="003066FC"/>
    <w:rsid w:val="0030675E"/>
    <w:rsid w:val="00306817"/>
    <w:rsid w:val="003068BC"/>
    <w:rsid w:val="00306B0B"/>
    <w:rsid w:val="00306B29"/>
    <w:rsid w:val="00306C6B"/>
    <w:rsid w:val="00306D0F"/>
    <w:rsid w:val="003072EC"/>
    <w:rsid w:val="00307489"/>
    <w:rsid w:val="00307B36"/>
    <w:rsid w:val="00307B6C"/>
    <w:rsid w:val="00307BDC"/>
    <w:rsid w:val="00307BE5"/>
    <w:rsid w:val="00307C7E"/>
    <w:rsid w:val="00307E5E"/>
    <w:rsid w:val="00307F21"/>
    <w:rsid w:val="003101D8"/>
    <w:rsid w:val="0031032D"/>
    <w:rsid w:val="003106F3"/>
    <w:rsid w:val="003107D5"/>
    <w:rsid w:val="0031094B"/>
    <w:rsid w:val="003109DB"/>
    <w:rsid w:val="00310B30"/>
    <w:rsid w:val="00310D78"/>
    <w:rsid w:val="00310E41"/>
    <w:rsid w:val="0031118B"/>
    <w:rsid w:val="0031129E"/>
    <w:rsid w:val="003112E1"/>
    <w:rsid w:val="0031140C"/>
    <w:rsid w:val="00311775"/>
    <w:rsid w:val="0031181B"/>
    <w:rsid w:val="00311BC9"/>
    <w:rsid w:val="00311BFC"/>
    <w:rsid w:val="00311FE2"/>
    <w:rsid w:val="00312041"/>
    <w:rsid w:val="003123EE"/>
    <w:rsid w:val="00312545"/>
    <w:rsid w:val="00312589"/>
    <w:rsid w:val="0031279C"/>
    <w:rsid w:val="003127CD"/>
    <w:rsid w:val="003129DA"/>
    <w:rsid w:val="00312BFD"/>
    <w:rsid w:val="00312D32"/>
    <w:rsid w:val="00312D53"/>
    <w:rsid w:val="00312D85"/>
    <w:rsid w:val="00312DA9"/>
    <w:rsid w:val="00312DF9"/>
    <w:rsid w:val="00312FE2"/>
    <w:rsid w:val="003130ED"/>
    <w:rsid w:val="003130FB"/>
    <w:rsid w:val="0031312C"/>
    <w:rsid w:val="00313371"/>
    <w:rsid w:val="003133B5"/>
    <w:rsid w:val="00313467"/>
    <w:rsid w:val="003136CA"/>
    <w:rsid w:val="00313C46"/>
    <w:rsid w:val="00313CA9"/>
    <w:rsid w:val="00313D22"/>
    <w:rsid w:val="00313D45"/>
    <w:rsid w:val="00313FD7"/>
    <w:rsid w:val="0031427B"/>
    <w:rsid w:val="00314349"/>
    <w:rsid w:val="0031437F"/>
    <w:rsid w:val="0031443D"/>
    <w:rsid w:val="003144E0"/>
    <w:rsid w:val="003146C8"/>
    <w:rsid w:val="00314795"/>
    <w:rsid w:val="00314920"/>
    <w:rsid w:val="00314A8D"/>
    <w:rsid w:val="00314DB3"/>
    <w:rsid w:val="00315154"/>
    <w:rsid w:val="00315352"/>
    <w:rsid w:val="0031537C"/>
    <w:rsid w:val="00315445"/>
    <w:rsid w:val="00315519"/>
    <w:rsid w:val="00315574"/>
    <w:rsid w:val="00315669"/>
    <w:rsid w:val="00315705"/>
    <w:rsid w:val="0031578B"/>
    <w:rsid w:val="00315807"/>
    <w:rsid w:val="00315A49"/>
    <w:rsid w:val="00315E51"/>
    <w:rsid w:val="00315E9D"/>
    <w:rsid w:val="00315EFC"/>
    <w:rsid w:val="00315F7A"/>
    <w:rsid w:val="00316166"/>
    <w:rsid w:val="0031657F"/>
    <w:rsid w:val="003165B8"/>
    <w:rsid w:val="003168BD"/>
    <w:rsid w:val="00316B19"/>
    <w:rsid w:val="00316B4D"/>
    <w:rsid w:val="00316CA8"/>
    <w:rsid w:val="003170B8"/>
    <w:rsid w:val="0031711B"/>
    <w:rsid w:val="0031717E"/>
    <w:rsid w:val="003172A8"/>
    <w:rsid w:val="003173A0"/>
    <w:rsid w:val="0031758F"/>
    <w:rsid w:val="003175D7"/>
    <w:rsid w:val="00317661"/>
    <w:rsid w:val="0031767A"/>
    <w:rsid w:val="00317806"/>
    <w:rsid w:val="00317886"/>
    <w:rsid w:val="003179D5"/>
    <w:rsid w:val="00317B86"/>
    <w:rsid w:val="00317F7D"/>
    <w:rsid w:val="00317F96"/>
    <w:rsid w:val="003200D3"/>
    <w:rsid w:val="0032029E"/>
    <w:rsid w:val="0032059D"/>
    <w:rsid w:val="003206A0"/>
    <w:rsid w:val="003209E4"/>
    <w:rsid w:val="00320A61"/>
    <w:rsid w:val="00320A9D"/>
    <w:rsid w:val="00320D8E"/>
    <w:rsid w:val="00320E5C"/>
    <w:rsid w:val="003212FE"/>
    <w:rsid w:val="0032156D"/>
    <w:rsid w:val="0032193B"/>
    <w:rsid w:val="003219BB"/>
    <w:rsid w:val="003219E6"/>
    <w:rsid w:val="00321B5D"/>
    <w:rsid w:val="00321C94"/>
    <w:rsid w:val="00321CA2"/>
    <w:rsid w:val="00321D6D"/>
    <w:rsid w:val="00322A2E"/>
    <w:rsid w:val="00322D22"/>
    <w:rsid w:val="00322EFC"/>
    <w:rsid w:val="00322FD3"/>
    <w:rsid w:val="00323013"/>
    <w:rsid w:val="003239EA"/>
    <w:rsid w:val="00323B20"/>
    <w:rsid w:val="00323BC9"/>
    <w:rsid w:val="00323BE0"/>
    <w:rsid w:val="00323D70"/>
    <w:rsid w:val="00323DA0"/>
    <w:rsid w:val="0032404D"/>
    <w:rsid w:val="003240A9"/>
    <w:rsid w:val="003240FB"/>
    <w:rsid w:val="003241AC"/>
    <w:rsid w:val="0032441F"/>
    <w:rsid w:val="003245FD"/>
    <w:rsid w:val="003246B7"/>
    <w:rsid w:val="003246CB"/>
    <w:rsid w:val="00324819"/>
    <w:rsid w:val="00324855"/>
    <w:rsid w:val="00324A03"/>
    <w:rsid w:val="00324A0F"/>
    <w:rsid w:val="00324B5B"/>
    <w:rsid w:val="00324D2B"/>
    <w:rsid w:val="00324F0A"/>
    <w:rsid w:val="0032525C"/>
    <w:rsid w:val="003253CA"/>
    <w:rsid w:val="00325509"/>
    <w:rsid w:val="00325857"/>
    <w:rsid w:val="00325A7B"/>
    <w:rsid w:val="00325B4F"/>
    <w:rsid w:val="00325BAA"/>
    <w:rsid w:val="00325CE5"/>
    <w:rsid w:val="00325E40"/>
    <w:rsid w:val="0032616A"/>
    <w:rsid w:val="003261E9"/>
    <w:rsid w:val="00326280"/>
    <w:rsid w:val="003262B5"/>
    <w:rsid w:val="00326517"/>
    <w:rsid w:val="0032652C"/>
    <w:rsid w:val="0032659A"/>
    <w:rsid w:val="003265AF"/>
    <w:rsid w:val="0032663C"/>
    <w:rsid w:val="003267B2"/>
    <w:rsid w:val="0032680C"/>
    <w:rsid w:val="00326841"/>
    <w:rsid w:val="0032685F"/>
    <w:rsid w:val="00326A51"/>
    <w:rsid w:val="00326D8A"/>
    <w:rsid w:val="003271AC"/>
    <w:rsid w:val="003272B4"/>
    <w:rsid w:val="0032732E"/>
    <w:rsid w:val="003274EA"/>
    <w:rsid w:val="00327869"/>
    <w:rsid w:val="00327A73"/>
    <w:rsid w:val="00327C75"/>
    <w:rsid w:val="00327CBB"/>
    <w:rsid w:val="00327E96"/>
    <w:rsid w:val="0033028B"/>
    <w:rsid w:val="003303B3"/>
    <w:rsid w:val="003303C6"/>
    <w:rsid w:val="00330513"/>
    <w:rsid w:val="00330565"/>
    <w:rsid w:val="0033056B"/>
    <w:rsid w:val="00330626"/>
    <w:rsid w:val="003308C4"/>
    <w:rsid w:val="00330A30"/>
    <w:rsid w:val="00330D47"/>
    <w:rsid w:val="00330D73"/>
    <w:rsid w:val="00330DB5"/>
    <w:rsid w:val="00330E1A"/>
    <w:rsid w:val="00330E6C"/>
    <w:rsid w:val="00331695"/>
    <w:rsid w:val="003318FC"/>
    <w:rsid w:val="00331904"/>
    <w:rsid w:val="0033196A"/>
    <w:rsid w:val="00331AF7"/>
    <w:rsid w:val="00331C60"/>
    <w:rsid w:val="00331EAF"/>
    <w:rsid w:val="00331FC5"/>
    <w:rsid w:val="0033203D"/>
    <w:rsid w:val="0033226F"/>
    <w:rsid w:val="003322CC"/>
    <w:rsid w:val="003324DA"/>
    <w:rsid w:val="00332661"/>
    <w:rsid w:val="003326FA"/>
    <w:rsid w:val="003328EE"/>
    <w:rsid w:val="003329E9"/>
    <w:rsid w:val="003329F3"/>
    <w:rsid w:val="00332CAF"/>
    <w:rsid w:val="00332CB7"/>
    <w:rsid w:val="00332CFC"/>
    <w:rsid w:val="00332DD6"/>
    <w:rsid w:val="0033308D"/>
    <w:rsid w:val="003330BA"/>
    <w:rsid w:val="003331F8"/>
    <w:rsid w:val="003333A9"/>
    <w:rsid w:val="003333EC"/>
    <w:rsid w:val="00333916"/>
    <w:rsid w:val="0033391A"/>
    <w:rsid w:val="00333A36"/>
    <w:rsid w:val="00333C99"/>
    <w:rsid w:val="00333E3B"/>
    <w:rsid w:val="00334161"/>
    <w:rsid w:val="0033432B"/>
    <w:rsid w:val="00334666"/>
    <w:rsid w:val="00334810"/>
    <w:rsid w:val="0033484B"/>
    <w:rsid w:val="00334A53"/>
    <w:rsid w:val="00334C30"/>
    <w:rsid w:val="00334DA4"/>
    <w:rsid w:val="00334E28"/>
    <w:rsid w:val="00335063"/>
    <w:rsid w:val="0033508A"/>
    <w:rsid w:val="00335197"/>
    <w:rsid w:val="003352C2"/>
    <w:rsid w:val="00335422"/>
    <w:rsid w:val="0033563E"/>
    <w:rsid w:val="00335644"/>
    <w:rsid w:val="00335752"/>
    <w:rsid w:val="0033575E"/>
    <w:rsid w:val="00335AC8"/>
    <w:rsid w:val="00335CA6"/>
    <w:rsid w:val="00335D84"/>
    <w:rsid w:val="00335DF9"/>
    <w:rsid w:val="0033628F"/>
    <w:rsid w:val="00336323"/>
    <w:rsid w:val="0033638C"/>
    <w:rsid w:val="003364FF"/>
    <w:rsid w:val="00336513"/>
    <w:rsid w:val="00336560"/>
    <w:rsid w:val="00336AF5"/>
    <w:rsid w:val="00336B6E"/>
    <w:rsid w:val="00336BCB"/>
    <w:rsid w:val="00336CA9"/>
    <w:rsid w:val="00336DB8"/>
    <w:rsid w:val="00336F96"/>
    <w:rsid w:val="00337020"/>
    <w:rsid w:val="0033721A"/>
    <w:rsid w:val="0033744A"/>
    <w:rsid w:val="0033747D"/>
    <w:rsid w:val="00337511"/>
    <w:rsid w:val="00337922"/>
    <w:rsid w:val="0033797C"/>
    <w:rsid w:val="00337A96"/>
    <w:rsid w:val="00337C89"/>
    <w:rsid w:val="003407D2"/>
    <w:rsid w:val="00340876"/>
    <w:rsid w:val="003409BD"/>
    <w:rsid w:val="00340AAB"/>
    <w:rsid w:val="00340AF5"/>
    <w:rsid w:val="00340C67"/>
    <w:rsid w:val="00340F09"/>
    <w:rsid w:val="003411E9"/>
    <w:rsid w:val="00341289"/>
    <w:rsid w:val="0034131A"/>
    <w:rsid w:val="003414EC"/>
    <w:rsid w:val="00341519"/>
    <w:rsid w:val="003418DC"/>
    <w:rsid w:val="00341B6F"/>
    <w:rsid w:val="00341C05"/>
    <w:rsid w:val="00341C07"/>
    <w:rsid w:val="00341D21"/>
    <w:rsid w:val="00341DE4"/>
    <w:rsid w:val="0034210B"/>
    <w:rsid w:val="0034211D"/>
    <w:rsid w:val="00342441"/>
    <w:rsid w:val="003426BA"/>
    <w:rsid w:val="003426DB"/>
    <w:rsid w:val="003426F4"/>
    <w:rsid w:val="0034294B"/>
    <w:rsid w:val="00342A83"/>
    <w:rsid w:val="00342B11"/>
    <w:rsid w:val="00342BBD"/>
    <w:rsid w:val="00342CF4"/>
    <w:rsid w:val="00342E5C"/>
    <w:rsid w:val="003430BD"/>
    <w:rsid w:val="003430F7"/>
    <w:rsid w:val="00343337"/>
    <w:rsid w:val="00343360"/>
    <w:rsid w:val="003433DE"/>
    <w:rsid w:val="003433E1"/>
    <w:rsid w:val="0034355C"/>
    <w:rsid w:val="00343794"/>
    <w:rsid w:val="0034382D"/>
    <w:rsid w:val="00343871"/>
    <w:rsid w:val="0034399A"/>
    <w:rsid w:val="00343E49"/>
    <w:rsid w:val="00343F49"/>
    <w:rsid w:val="0034403D"/>
    <w:rsid w:val="003441C4"/>
    <w:rsid w:val="00344238"/>
    <w:rsid w:val="003442B5"/>
    <w:rsid w:val="00344338"/>
    <w:rsid w:val="00344351"/>
    <w:rsid w:val="0034439E"/>
    <w:rsid w:val="00344416"/>
    <w:rsid w:val="0034496E"/>
    <w:rsid w:val="003449FB"/>
    <w:rsid w:val="00344C57"/>
    <w:rsid w:val="00344D23"/>
    <w:rsid w:val="00344F09"/>
    <w:rsid w:val="00345008"/>
    <w:rsid w:val="003450BE"/>
    <w:rsid w:val="0034512F"/>
    <w:rsid w:val="00345301"/>
    <w:rsid w:val="00345564"/>
    <w:rsid w:val="003457A7"/>
    <w:rsid w:val="003457D2"/>
    <w:rsid w:val="0034592F"/>
    <w:rsid w:val="00345A0D"/>
    <w:rsid w:val="00345CBC"/>
    <w:rsid w:val="00345D8C"/>
    <w:rsid w:val="00345FDA"/>
    <w:rsid w:val="003461EE"/>
    <w:rsid w:val="003463DF"/>
    <w:rsid w:val="0034640A"/>
    <w:rsid w:val="0034641E"/>
    <w:rsid w:val="0034650C"/>
    <w:rsid w:val="003465F8"/>
    <w:rsid w:val="00346685"/>
    <w:rsid w:val="00346AB8"/>
    <w:rsid w:val="00346CFC"/>
    <w:rsid w:val="00347055"/>
    <w:rsid w:val="003470D0"/>
    <w:rsid w:val="00347270"/>
    <w:rsid w:val="003473FA"/>
    <w:rsid w:val="003474AF"/>
    <w:rsid w:val="0034751B"/>
    <w:rsid w:val="00347545"/>
    <w:rsid w:val="003475AE"/>
    <w:rsid w:val="003477C8"/>
    <w:rsid w:val="00347A0B"/>
    <w:rsid w:val="00347A8A"/>
    <w:rsid w:val="00347B31"/>
    <w:rsid w:val="00347BD5"/>
    <w:rsid w:val="00347BEA"/>
    <w:rsid w:val="00350403"/>
    <w:rsid w:val="0035043E"/>
    <w:rsid w:val="00350608"/>
    <w:rsid w:val="00350803"/>
    <w:rsid w:val="00350A90"/>
    <w:rsid w:val="00350DEA"/>
    <w:rsid w:val="00350EFC"/>
    <w:rsid w:val="0035110A"/>
    <w:rsid w:val="003512A7"/>
    <w:rsid w:val="003513FF"/>
    <w:rsid w:val="0035140F"/>
    <w:rsid w:val="00351604"/>
    <w:rsid w:val="00351638"/>
    <w:rsid w:val="00351694"/>
    <w:rsid w:val="00351720"/>
    <w:rsid w:val="003519A3"/>
    <w:rsid w:val="003519D9"/>
    <w:rsid w:val="003519EC"/>
    <w:rsid w:val="00351D1C"/>
    <w:rsid w:val="00351E25"/>
    <w:rsid w:val="00352262"/>
    <w:rsid w:val="003524FA"/>
    <w:rsid w:val="0035255B"/>
    <w:rsid w:val="00352697"/>
    <w:rsid w:val="00352753"/>
    <w:rsid w:val="0035291B"/>
    <w:rsid w:val="00352A7F"/>
    <w:rsid w:val="00352B05"/>
    <w:rsid w:val="00352B6B"/>
    <w:rsid w:val="00352C4D"/>
    <w:rsid w:val="00352C71"/>
    <w:rsid w:val="00352D5E"/>
    <w:rsid w:val="00352F6E"/>
    <w:rsid w:val="00353311"/>
    <w:rsid w:val="0035333F"/>
    <w:rsid w:val="003533C5"/>
    <w:rsid w:val="0035340F"/>
    <w:rsid w:val="00353573"/>
    <w:rsid w:val="003535A9"/>
    <w:rsid w:val="00353669"/>
    <w:rsid w:val="003536E9"/>
    <w:rsid w:val="00353B11"/>
    <w:rsid w:val="00353C13"/>
    <w:rsid w:val="00353E69"/>
    <w:rsid w:val="00353ED7"/>
    <w:rsid w:val="00353EFD"/>
    <w:rsid w:val="003541A4"/>
    <w:rsid w:val="003541F7"/>
    <w:rsid w:val="0035421C"/>
    <w:rsid w:val="003543A2"/>
    <w:rsid w:val="00354410"/>
    <w:rsid w:val="003544F9"/>
    <w:rsid w:val="003547AD"/>
    <w:rsid w:val="00354859"/>
    <w:rsid w:val="003548CC"/>
    <w:rsid w:val="00354CBE"/>
    <w:rsid w:val="00354D8F"/>
    <w:rsid w:val="00354E98"/>
    <w:rsid w:val="0035504F"/>
    <w:rsid w:val="00355131"/>
    <w:rsid w:val="003551FD"/>
    <w:rsid w:val="003553F3"/>
    <w:rsid w:val="0035549C"/>
    <w:rsid w:val="00355561"/>
    <w:rsid w:val="0035566A"/>
    <w:rsid w:val="00355718"/>
    <w:rsid w:val="003557F3"/>
    <w:rsid w:val="00355947"/>
    <w:rsid w:val="00355B86"/>
    <w:rsid w:val="00355DFC"/>
    <w:rsid w:val="00355E77"/>
    <w:rsid w:val="00355E96"/>
    <w:rsid w:val="0035629A"/>
    <w:rsid w:val="003564BD"/>
    <w:rsid w:val="00356581"/>
    <w:rsid w:val="00356824"/>
    <w:rsid w:val="00356955"/>
    <w:rsid w:val="00356C6D"/>
    <w:rsid w:val="00356F4A"/>
    <w:rsid w:val="00356FC8"/>
    <w:rsid w:val="00356FDD"/>
    <w:rsid w:val="003572BF"/>
    <w:rsid w:val="00357820"/>
    <w:rsid w:val="003578B6"/>
    <w:rsid w:val="003579F6"/>
    <w:rsid w:val="00357A26"/>
    <w:rsid w:val="00357A4F"/>
    <w:rsid w:val="00357D1F"/>
    <w:rsid w:val="00357E2F"/>
    <w:rsid w:val="00357EC4"/>
    <w:rsid w:val="00357FA0"/>
    <w:rsid w:val="003600FA"/>
    <w:rsid w:val="0036016C"/>
    <w:rsid w:val="003602E9"/>
    <w:rsid w:val="003603CF"/>
    <w:rsid w:val="0036051F"/>
    <w:rsid w:val="00360593"/>
    <w:rsid w:val="003608FC"/>
    <w:rsid w:val="00360B4F"/>
    <w:rsid w:val="00360BA0"/>
    <w:rsid w:val="00360C53"/>
    <w:rsid w:val="00360DFE"/>
    <w:rsid w:val="003610AE"/>
    <w:rsid w:val="003612DB"/>
    <w:rsid w:val="003614B7"/>
    <w:rsid w:val="0036153E"/>
    <w:rsid w:val="0036159E"/>
    <w:rsid w:val="003615B8"/>
    <w:rsid w:val="003615E4"/>
    <w:rsid w:val="003616F1"/>
    <w:rsid w:val="00361AD6"/>
    <w:rsid w:val="00361D3F"/>
    <w:rsid w:val="00361E7E"/>
    <w:rsid w:val="00362023"/>
    <w:rsid w:val="003620A3"/>
    <w:rsid w:val="003622A3"/>
    <w:rsid w:val="00362340"/>
    <w:rsid w:val="0036272D"/>
    <w:rsid w:val="00362731"/>
    <w:rsid w:val="003627BD"/>
    <w:rsid w:val="003628F3"/>
    <w:rsid w:val="00362A07"/>
    <w:rsid w:val="00362CA0"/>
    <w:rsid w:val="00362CD3"/>
    <w:rsid w:val="00362CE6"/>
    <w:rsid w:val="00362D3A"/>
    <w:rsid w:val="00362DC1"/>
    <w:rsid w:val="00362E15"/>
    <w:rsid w:val="00362FDC"/>
    <w:rsid w:val="0036335D"/>
    <w:rsid w:val="00363586"/>
    <w:rsid w:val="00363634"/>
    <w:rsid w:val="003638E2"/>
    <w:rsid w:val="0036393F"/>
    <w:rsid w:val="00363A48"/>
    <w:rsid w:val="00363AC3"/>
    <w:rsid w:val="00363D01"/>
    <w:rsid w:val="00363E2D"/>
    <w:rsid w:val="00363E71"/>
    <w:rsid w:val="00363E96"/>
    <w:rsid w:val="00363EE2"/>
    <w:rsid w:val="00364038"/>
    <w:rsid w:val="003640D8"/>
    <w:rsid w:val="003642F6"/>
    <w:rsid w:val="00364A96"/>
    <w:rsid w:val="00364DAA"/>
    <w:rsid w:val="003652B0"/>
    <w:rsid w:val="003653E7"/>
    <w:rsid w:val="00365403"/>
    <w:rsid w:val="00365A73"/>
    <w:rsid w:val="00365BCA"/>
    <w:rsid w:val="00365E9E"/>
    <w:rsid w:val="003660DE"/>
    <w:rsid w:val="00366190"/>
    <w:rsid w:val="0036624B"/>
    <w:rsid w:val="003664E5"/>
    <w:rsid w:val="003665DC"/>
    <w:rsid w:val="00366650"/>
    <w:rsid w:val="0036674B"/>
    <w:rsid w:val="003667A3"/>
    <w:rsid w:val="00366869"/>
    <w:rsid w:val="00366936"/>
    <w:rsid w:val="00366E64"/>
    <w:rsid w:val="00366EBA"/>
    <w:rsid w:val="00366F46"/>
    <w:rsid w:val="00366F8D"/>
    <w:rsid w:val="00367099"/>
    <w:rsid w:val="003671D7"/>
    <w:rsid w:val="00367205"/>
    <w:rsid w:val="00367250"/>
    <w:rsid w:val="0036778F"/>
    <w:rsid w:val="003679BE"/>
    <w:rsid w:val="00367A6B"/>
    <w:rsid w:val="003701A1"/>
    <w:rsid w:val="0037023A"/>
    <w:rsid w:val="0037025E"/>
    <w:rsid w:val="00370299"/>
    <w:rsid w:val="003702C7"/>
    <w:rsid w:val="00370541"/>
    <w:rsid w:val="00370575"/>
    <w:rsid w:val="0037061B"/>
    <w:rsid w:val="003706DE"/>
    <w:rsid w:val="00370836"/>
    <w:rsid w:val="00370BA4"/>
    <w:rsid w:val="00370EAD"/>
    <w:rsid w:val="00370F6C"/>
    <w:rsid w:val="003711C7"/>
    <w:rsid w:val="00371458"/>
    <w:rsid w:val="00371589"/>
    <w:rsid w:val="003716F1"/>
    <w:rsid w:val="00371718"/>
    <w:rsid w:val="00371822"/>
    <w:rsid w:val="0037196E"/>
    <w:rsid w:val="00371BF4"/>
    <w:rsid w:val="00371D1D"/>
    <w:rsid w:val="003723F9"/>
    <w:rsid w:val="00372491"/>
    <w:rsid w:val="00372530"/>
    <w:rsid w:val="0037259B"/>
    <w:rsid w:val="003729FE"/>
    <w:rsid w:val="00372A96"/>
    <w:rsid w:val="00372BD6"/>
    <w:rsid w:val="00372CF0"/>
    <w:rsid w:val="00372CFD"/>
    <w:rsid w:val="00372D78"/>
    <w:rsid w:val="00372E54"/>
    <w:rsid w:val="00372E7A"/>
    <w:rsid w:val="00372F48"/>
    <w:rsid w:val="00372F7A"/>
    <w:rsid w:val="00372FD8"/>
    <w:rsid w:val="00373030"/>
    <w:rsid w:val="00373134"/>
    <w:rsid w:val="00373612"/>
    <w:rsid w:val="003736C8"/>
    <w:rsid w:val="003736CA"/>
    <w:rsid w:val="003739E0"/>
    <w:rsid w:val="00373A60"/>
    <w:rsid w:val="00373AC0"/>
    <w:rsid w:val="00373B46"/>
    <w:rsid w:val="00373BBB"/>
    <w:rsid w:val="00373CF4"/>
    <w:rsid w:val="00373D65"/>
    <w:rsid w:val="00373E24"/>
    <w:rsid w:val="00373F04"/>
    <w:rsid w:val="00373F71"/>
    <w:rsid w:val="0037455D"/>
    <w:rsid w:val="003745F2"/>
    <w:rsid w:val="0037465F"/>
    <w:rsid w:val="003747B5"/>
    <w:rsid w:val="00374810"/>
    <w:rsid w:val="0037488D"/>
    <w:rsid w:val="003748E2"/>
    <w:rsid w:val="00374DCD"/>
    <w:rsid w:val="00374E84"/>
    <w:rsid w:val="00374F7E"/>
    <w:rsid w:val="00375091"/>
    <w:rsid w:val="003750D6"/>
    <w:rsid w:val="003751D3"/>
    <w:rsid w:val="00375316"/>
    <w:rsid w:val="00375592"/>
    <w:rsid w:val="003756A3"/>
    <w:rsid w:val="00375824"/>
    <w:rsid w:val="00375986"/>
    <w:rsid w:val="00375A66"/>
    <w:rsid w:val="00375BDA"/>
    <w:rsid w:val="00375C26"/>
    <w:rsid w:val="00375C45"/>
    <w:rsid w:val="00375D55"/>
    <w:rsid w:val="00375DDA"/>
    <w:rsid w:val="00375E27"/>
    <w:rsid w:val="00375E81"/>
    <w:rsid w:val="00375FA9"/>
    <w:rsid w:val="0037612D"/>
    <w:rsid w:val="00376217"/>
    <w:rsid w:val="00376539"/>
    <w:rsid w:val="0037664A"/>
    <w:rsid w:val="00376936"/>
    <w:rsid w:val="003769D7"/>
    <w:rsid w:val="00376AFD"/>
    <w:rsid w:val="00376B57"/>
    <w:rsid w:val="00376CE5"/>
    <w:rsid w:val="00376E41"/>
    <w:rsid w:val="0037726E"/>
    <w:rsid w:val="00377273"/>
    <w:rsid w:val="00377517"/>
    <w:rsid w:val="003777CE"/>
    <w:rsid w:val="00377ACB"/>
    <w:rsid w:val="00377BEB"/>
    <w:rsid w:val="00377E2C"/>
    <w:rsid w:val="00379A57"/>
    <w:rsid w:val="0038029D"/>
    <w:rsid w:val="00380A80"/>
    <w:rsid w:val="00380AFC"/>
    <w:rsid w:val="00380E0C"/>
    <w:rsid w:val="00380F9C"/>
    <w:rsid w:val="003810AF"/>
    <w:rsid w:val="003812C9"/>
    <w:rsid w:val="00381303"/>
    <w:rsid w:val="00381371"/>
    <w:rsid w:val="0038142C"/>
    <w:rsid w:val="0038148D"/>
    <w:rsid w:val="00381597"/>
    <w:rsid w:val="00381802"/>
    <w:rsid w:val="00381869"/>
    <w:rsid w:val="00381977"/>
    <w:rsid w:val="00381A50"/>
    <w:rsid w:val="00381B57"/>
    <w:rsid w:val="003824D4"/>
    <w:rsid w:val="003824F5"/>
    <w:rsid w:val="00382511"/>
    <w:rsid w:val="00382544"/>
    <w:rsid w:val="00382586"/>
    <w:rsid w:val="003825BF"/>
    <w:rsid w:val="0038265D"/>
    <w:rsid w:val="00382937"/>
    <w:rsid w:val="00382F3A"/>
    <w:rsid w:val="0038329C"/>
    <w:rsid w:val="00383410"/>
    <w:rsid w:val="003836EC"/>
    <w:rsid w:val="00383730"/>
    <w:rsid w:val="0038377D"/>
    <w:rsid w:val="003837DA"/>
    <w:rsid w:val="00383882"/>
    <w:rsid w:val="00383AEB"/>
    <w:rsid w:val="00383D30"/>
    <w:rsid w:val="00383D85"/>
    <w:rsid w:val="00383DC9"/>
    <w:rsid w:val="00383E16"/>
    <w:rsid w:val="00383EBE"/>
    <w:rsid w:val="0038428D"/>
    <w:rsid w:val="003842C3"/>
    <w:rsid w:val="003843AE"/>
    <w:rsid w:val="00384435"/>
    <w:rsid w:val="0038473F"/>
    <w:rsid w:val="003848D9"/>
    <w:rsid w:val="003849D9"/>
    <w:rsid w:val="00384CB7"/>
    <w:rsid w:val="00384CD1"/>
    <w:rsid w:val="00384F9E"/>
    <w:rsid w:val="0038505E"/>
    <w:rsid w:val="00385066"/>
    <w:rsid w:val="003851C4"/>
    <w:rsid w:val="003852F9"/>
    <w:rsid w:val="0038533B"/>
    <w:rsid w:val="003853CC"/>
    <w:rsid w:val="003854B9"/>
    <w:rsid w:val="00385652"/>
    <w:rsid w:val="00385822"/>
    <w:rsid w:val="00385840"/>
    <w:rsid w:val="00385897"/>
    <w:rsid w:val="00385D74"/>
    <w:rsid w:val="00385E2A"/>
    <w:rsid w:val="00385E6D"/>
    <w:rsid w:val="00385EDD"/>
    <w:rsid w:val="0038618F"/>
    <w:rsid w:val="003862BB"/>
    <w:rsid w:val="00386389"/>
    <w:rsid w:val="003863A4"/>
    <w:rsid w:val="00386501"/>
    <w:rsid w:val="0038657D"/>
    <w:rsid w:val="003865B9"/>
    <w:rsid w:val="003867E7"/>
    <w:rsid w:val="00386958"/>
    <w:rsid w:val="00386C95"/>
    <w:rsid w:val="00386DDB"/>
    <w:rsid w:val="00386EAE"/>
    <w:rsid w:val="00387258"/>
    <w:rsid w:val="003872BE"/>
    <w:rsid w:val="0038753D"/>
    <w:rsid w:val="003875C9"/>
    <w:rsid w:val="0038781A"/>
    <w:rsid w:val="0038789A"/>
    <w:rsid w:val="00387A60"/>
    <w:rsid w:val="00387B1D"/>
    <w:rsid w:val="00387B58"/>
    <w:rsid w:val="00387BBD"/>
    <w:rsid w:val="00387BC7"/>
    <w:rsid w:val="00387C81"/>
    <w:rsid w:val="00387E65"/>
    <w:rsid w:val="00387F5F"/>
    <w:rsid w:val="003901DF"/>
    <w:rsid w:val="0039036C"/>
    <w:rsid w:val="003903AC"/>
    <w:rsid w:val="00390564"/>
    <w:rsid w:val="00390679"/>
    <w:rsid w:val="003907CE"/>
    <w:rsid w:val="003909E9"/>
    <w:rsid w:val="00390AAF"/>
    <w:rsid w:val="00390AE6"/>
    <w:rsid w:val="00390B23"/>
    <w:rsid w:val="00390CB3"/>
    <w:rsid w:val="00390EFD"/>
    <w:rsid w:val="00391001"/>
    <w:rsid w:val="00391022"/>
    <w:rsid w:val="003911AE"/>
    <w:rsid w:val="00391279"/>
    <w:rsid w:val="00391441"/>
    <w:rsid w:val="0039148D"/>
    <w:rsid w:val="0039151D"/>
    <w:rsid w:val="00391638"/>
    <w:rsid w:val="0039163F"/>
    <w:rsid w:val="0039164D"/>
    <w:rsid w:val="00391815"/>
    <w:rsid w:val="0039181A"/>
    <w:rsid w:val="00391A0C"/>
    <w:rsid w:val="00391AD6"/>
    <w:rsid w:val="00391C72"/>
    <w:rsid w:val="00391E1B"/>
    <w:rsid w:val="00391F35"/>
    <w:rsid w:val="00392056"/>
    <w:rsid w:val="003925E2"/>
    <w:rsid w:val="0039270F"/>
    <w:rsid w:val="00392797"/>
    <w:rsid w:val="003928EE"/>
    <w:rsid w:val="00392AD5"/>
    <w:rsid w:val="00392B42"/>
    <w:rsid w:val="00392C95"/>
    <w:rsid w:val="00392D02"/>
    <w:rsid w:val="00392E5A"/>
    <w:rsid w:val="00392EB5"/>
    <w:rsid w:val="00392F14"/>
    <w:rsid w:val="0039304A"/>
    <w:rsid w:val="003938ED"/>
    <w:rsid w:val="00393A0F"/>
    <w:rsid w:val="00393A8F"/>
    <w:rsid w:val="00393AA7"/>
    <w:rsid w:val="00393ACB"/>
    <w:rsid w:val="00393BB0"/>
    <w:rsid w:val="00393D16"/>
    <w:rsid w:val="00393E1F"/>
    <w:rsid w:val="00394322"/>
    <w:rsid w:val="00394354"/>
    <w:rsid w:val="003943A0"/>
    <w:rsid w:val="003943E0"/>
    <w:rsid w:val="003945D6"/>
    <w:rsid w:val="003948CE"/>
    <w:rsid w:val="00394B46"/>
    <w:rsid w:val="00394DC0"/>
    <w:rsid w:val="00394E00"/>
    <w:rsid w:val="00394ED8"/>
    <w:rsid w:val="00394F1D"/>
    <w:rsid w:val="00394F40"/>
    <w:rsid w:val="00394F6B"/>
    <w:rsid w:val="00395002"/>
    <w:rsid w:val="00395038"/>
    <w:rsid w:val="00395316"/>
    <w:rsid w:val="00395343"/>
    <w:rsid w:val="00395344"/>
    <w:rsid w:val="0039550A"/>
    <w:rsid w:val="0039552F"/>
    <w:rsid w:val="00395897"/>
    <w:rsid w:val="003959D9"/>
    <w:rsid w:val="00395B83"/>
    <w:rsid w:val="00395C5B"/>
    <w:rsid w:val="00395F36"/>
    <w:rsid w:val="00395F8C"/>
    <w:rsid w:val="00396129"/>
    <w:rsid w:val="0039616B"/>
    <w:rsid w:val="0039631D"/>
    <w:rsid w:val="00396324"/>
    <w:rsid w:val="003963AD"/>
    <w:rsid w:val="003964E7"/>
    <w:rsid w:val="0039659E"/>
    <w:rsid w:val="00396692"/>
    <w:rsid w:val="00396739"/>
    <w:rsid w:val="00396746"/>
    <w:rsid w:val="003969F1"/>
    <w:rsid w:val="00396AC7"/>
    <w:rsid w:val="00396ACC"/>
    <w:rsid w:val="00396BFE"/>
    <w:rsid w:val="00396C20"/>
    <w:rsid w:val="00396FF9"/>
    <w:rsid w:val="00397291"/>
    <w:rsid w:val="003972A1"/>
    <w:rsid w:val="00397459"/>
    <w:rsid w:val="0039746C"/>
    <w:rsid w:val="003976CA"/>
    <w:rsid w:val="003976D1"/>
    <w:rsid w:val="00397707"/>
    <w:rsid w:val="00397AA1"/>
    <w:rsid w:val="00397D48"/>
    <w:rsid w:val="00397E1A"/>
    <w:rsid w:val="00397EB7"/>
    <w:rsid w:val="00397F3C"/>
    <w:rsid w:val="003A0193"/>
    <w:rsid w:val="003A01C2"/>
    <w:rsid w:val="003A04D0"/>
    <w:rsid w:val="003A08C0"/>
    <w:rsid w:val="003A094A"/>
    <w:rsid w:val="003A0A3A"/>
    <w:rsid w:val="003A0A6A"/>
    <w:rsid w:val="003A0ADB"/>
    <w:rsid w:val="003A0B84"/>
    <w:rsid w:val="003A0CE9"/>
    <w:rsid w:val="003A0F29"/>
    <w:rsid w:val="003A12A2"/>
    <w:rsid w:val="003A12BB"/>
    <w:rsid w:val="003A1428"/>
    <w:rsid w:val="003A1429"/>
    <w:rsid w:val="003A14F8"/>
    <w:rsid w:val="003A17A9"/>
    <w:rsid w:val="003A1827"/>
    <w:rsid w:val="003A1871"/>
    <w:rsid w:val="003A1ABA"/>
    <w:rsid w:val="003A1D27"/>
    <w:rsid w:val="003A1E6D"/>
    <w:rsid w:val="003A1FF3"/>
    <w:rsid w:val="003A2043"/>
    <w:rsid w:val="003A2295"/>
    <w:rsid w:val="003A22FC"/>
    <w:rsid w:val="003A23FD"/>
    <w:rsid w:val="003A2411"/>
    <w:rsid w:val="003A24D8"/>
    <w:rsid w:val="003A24DE"/>
    <w:rsid w:val="003A25D3"/>
    <w:rsid w:val="003A266D"/>
    <w:rsid w:val="003A2723"/>
    <w:rsid w:val="003A2763"/>
    <w:rsid w:val="003A2913"/>
    <w:rsid w:val="003A29F9"/>
    <w:rsid w:val="003A2A4A"/>
    <w:rsid w:val="003A2B68"/>
    <w:rsid w:val="003A2B73"/>
    <w:rsid w:val="003A2BD7"/>
    <w:rsid w:val="003A2D16"/>
    <w:rsid w:val="003A2D58"/>
    <w:rsid w:val="003A2D75"/>
    <w:rsid w:val="003A2D79"/>
    <w:rsid w:val="003A30D8"/>
    <w:rsid w:val="003A30F1"/>
    <w:rsid w:val="003A3274"/>
    <w:rsid w:val="003A34ED"/>
    <w:rsid w:val="003A34F1"/>
    <w:rsid w:val="003A34F3"/>
    <w:rsid w:val="003A363D"/>
    <w:rsid w:val="003A375C"/>
    <w:rsid w:val="003A377A"/>
    <w:rsid w:val="003A38C5"/>
    <w:rsid w:val="003A392E"/>
    <w:rsid w:val="003A3A72"/>
    <w:rsid w:val="003A3BB9"/>
    <w:rsid w:val="003A3D7C"/>
    <w:rsid w:val="003A3D7D"/>
    <w:rsid w:val="003A3EDA"/>
    <w:rsid w:val="003A3F66"/>
    <w:rsid w:val="003A4029"/>
    <w:rsid w:val="003A428C"/>
    <w:rsid w:val="003A4353"/>
    <w:rsid w:val="003A441C"/>
    <w:rsid w:val="003A46C0"/>
    <w:rsid w:val="003A48E0"/>
    <w:rsid w:val="003A4B32"/>
    <w:rsid w:val="003A4D59"/>
    <w:rsid w:val="003A4F80"/>
    <w:rsid w:val="003A5117"/>
    <w:rsid w:val="003A5232"/>
    <w:rsid w:val="003A52E5"/>
    <w:rsid w:val="003A53D6"/>
    <w:rsid w:val="003A54B4"/>
    <w:rsid w:val="003A5521"/>
    <w:rsid w:val="003A578A"/>
    <w:rsid w:val="003A586A"/>
    <w:rsid w:val="003A5AC1"/>
    <w:rsid w:val="003A5CF4"/>
    <w:rsid w:val="003A6033"/>
    <w:rsid w:val="003A6173"/>
    <w:rsid w:val="003A61E4"/>
    <w:rsid w:val="003A622E"/>
    <w:rsid w:val="003A62B4"/>
    <w:rsid w:val="003A62B7"/>
    <w:rsid w:val="003A6462"/>
    <w:rsid w:val="003A6647"/>
    <w:rsid w:val="003A6961"/>
    <w:rsid w:val="003A6ED4"/>
    <w:rsid w:val="003A6EF4"/>
    <w:rsid w:val="003A701F"/>
    <w:rsid w:val="003A70C4"/>
    <w:rsid w:val="003A7161"/>
    <w:rsid w:val="003A7166"/>
    <w:rsid w:val="003A71AC"/>
    <w:rsid w:val="003A731A"/>
    <w:rsid w:val="003A75A6"/>
    <w:rsid w:val="003A760E"/>
    <w:rsid w:val="003A76ED"/>
    <w:rsid w:val="003A7B4B"/>
    <w:rsid w:val="003A7D31"/>
    <w:rsid w:val="003A7DD5"/>
    <w:rsid w:val="003A7E35"/>
    <w:rsid w:val="003A7E68"/>
    <w:rsid w:val="003A7EB0"/>
    <w:rsid w:val="003A7EF5"/>
    <w:rsid w:val="003A7F55"/>
    <w:rsid w:val="003A7F9D"/>
    <w:rsid w:val="003B012F"/>
    <w:rsid w:val="003B0237"/>
    <w:rsid w:val="003B03EA"/>
    <w:rsid w:val="003B0480"/>
    <w:rsid w:val="003B0677"/>
    <w:rsid w:val="003B08A2"/>
    <w:rsid w:val="003B0ACF"/>
    <w:rsid w:val="003B0BAA"/>
    <w:rsid w:val="003B10B1"/>
    <w:rsid w:val="003B10CF"/>
    <w:rsid w:val="003B10E0"/>
    <w:rsid w:val="003B126B"/>
    <w:rsid w:val="003B138F"/>
    <w:rsid w:val="003B13D9"/>
    <w:rsid w:val="003B156A"/>
    <w:rsid w:val="003B1584"/>
    <w:rsid w:val="003B1593"/>
    <w:rsid w:val="003B15F2"/>
    <w:rsid w:val="003B1690"/>
    <w:rsid w:val="003B198F"/>
    <w:rsid w:val="003B1BF8"/>
    <w:rsid w:val="003B2138"/>
    <w:rsid w:val="003B2261"/>
    <w:rsid w:val="003B2269"/>
    <w:rsid w:val="003B22CB"/>
    <w:rsid w:val="003B23CE"/>
    <w:rsid w:val="003B246B"/>
    <w:rsid w:val="003B2740"/>
    <w:rsid w:val="003B28A4"/>
    <w:rsid w:val="003B2B02"/>
    <w:rsid w:val="003B2B8E"/>
    <w:rsid w:val="003B2C1C"/>
    <w:rsid w:val="003B2D96"/>
    <w:rsid w:val="003B305F"/>
    <w:rsid w:val="003B32D1"/>
    <w:rsid w:val="003B33CD"/>
    <w:rsid w:val="003B3429"/>
    <w:rsid w:val="003B34A5"/>
    <w:rsid w:val="003B3500"/>
    <w:rsid w:val="003B3596"/>
    <w:rsid w:val="003B35A2"/>
    <w:rsid w:val="003B37AD"/>
    <w:rsid w:val="003B3818"/>
    <w:rsid w:val="003B385C"/>
    <w:rsid w:val="003B3926"/>
    <w:rsid w:val="003B3AD4"/>
    <w:rsid w:val="003B3B6D"/>
    <w:rsid w:val="003B3B70"/>
    <w:rsid w:val="003B3BD1"/>
    <w:rsid w:val="003B3C10"/>
    <w:rsid w:val="003B3D14"/>
    <w:rsid w:val="003B3FC1"/>
    <w:rsid w:val="003B4030"/>
    <w:rsid w:val="003B40A3"/>
    <w:rsid w:val="003B41F6"/>
    <w:rsid w:val="003B42B4"/>
    <w:rsid w:val="003B462E"/>
    <w:rsid w:val="003B46A9"/>
    <w:rsid w:val="003B4756"/>
    <w:rsid w:val="003B4A6D"/>
    <w:rsid w:val="003B4ACF"/>
    <w:rsid w:val="003B4B73"/>
    <w:rsid w:val="003B4BCA"/>
    <w:rsid w:val="003B4EA1"/>
    <w:rsid w:val="003B4EA8"/>
    <w:rsid w:val="003B4FAD"/>
    <w:rsid w:val="003B50CC"/>
    <w:rsid w:val="003B52D8"/>
    <w:rsid w:val="003B53D9"/>
    <w:rsid w:val="003B53F7"/>
    <w:rsid w:val="003B5458"/>
    <w:rsid w:val="003B555D"/>
    <w:rsid w:val="003B5574"/>
    <w:rsid w:val="003B56B0"/>
    <w:rsid w:val="003B5B53"/>
    <w:rsid w:val="003B5C4E"/>
    <w:rsid w:val="003B5DA2"/>
    <w:rsid w:val="003B5DD9"/>
    <w:rsid w:val="003B5EA4"/>
    <w:rsid w:val="003B6218"/>
    <w:rsid w:val="003B62A9"/>
    <w:rsid w:val="003B62D5"/>
    <w:rsid w:val="003B6376"/>
    <w:rsid w:val="003B63A3"/>
    <w:rsid w:val="003B6431"/>
    <w:rsid w:val="003B655B"/>
    <w:rsid w:val="003B6754"/>
    <w:rsid w:val="003B6914"/>
    <w:rsid w:val="003B69BB"/>
    <w:rsid w:val="003B6AFC"/>
    <w:rsid w:val="003B6DCB"/>
    <w:rsid w:val="003B72BE"/>
    <w:rsid w:val="003B7310"/>
    <w:rsid w:val="003B7363"/>
    <w:rsid w:val="003B74BB"/>
    <w:rsid w:val="003B74BC"/>
    <w:rsid w:val="003B75BC"/>
    <w:rsid w:val="003B7681"/>
    <w:rsid w:val="003B7811"/>
    <w:rsid w:val="003B787C"/>
    <w:rsid w:val="003B78A5"/>
    <w:rsid w:val="003B78DE"/>
    <w:rsid w:val="003B7BA9"/>
    <w:rsid w:val="003B7DA9"/>
    <w:rsid w:val="003B7FDA"/>
    <w:rsid w:val="003C00A7"/>
    <w:rsid w:val="003C01E9"/>
    <w:rsid w:val="003C04F6"/>
    <w:rsid w:val="003C06C1"/>
    <w:rsid w:val="003C07F6"/>
    <w:rsid w:val="003C084F"/>
    <w:rsid w:val="003C0C85"/>
    <w:rsid w:val="003C0C86"/>
    <w:rsid w:val="003C0E94"/>
    <w:rsid w:val="003C0ED5"/>
    <w:rsid w:val="003C0F4E"/>
    <w:rsid w:val="003C1162"/>
    <w:rsid w:val="003C123D"/>
    <w:rsid w:val="003C174F"/>
    <w:rsid w:val="003C1819"/>
    <w:rsid w:val="003C18AB"/>
    <w:rsid w:val="003C1939"/>
    <w:rsid w:val="003C19BA"/>
    <w:rsid w:val="003C1A0B"/>
    <w:rsid w:val="003C1A20"/>
    <w:rsid w:val="003C1BAE"/>
    <w:rsid w:val="003C1D18"/>
    <w:rsid w:val="003C1DBA"/>
    <w:rsid w:val="003C201C"/>
    <w:rsid w:val="003C208F"/>
    <w:rsid w:val="003C22C4"/>
    <w:rsid w:val="003C2565"/>
    <w:rsid w:val="003C2702"/>
    <w:rsid w:val="003C2B18"/>
    <w:rsid w:val="003C2B47"/>
    <w:rsid w:val="003C2E7B"/>
    <w:rsid w:val="003C3036"/>
    <w:rsid w:val="003C33F1"/>
    <w:rsid w:val="003C349A"/>
    <w:rsid w:val="003C34D2"/>
    <w:rsid w:val="003C34FB"/>
    <w:rsid w:val="003C37F6"/>
    <w:rsid w:val="003C3A21"/>
    <w:rsid w:val="003C3C1A"/>
    <w:rsid w:val="003C3C29"/>
    <w:rsid w:val="003C3D7F"/>
    <w:rsid w:val="003C3DCE"/>
    <w:rsid w:val="003C3E47"/>
    <w:rsid w:val="003C3F33"/>
    <w:rsid w:val="003C414F"/>
    <w:rsid w:val="003C43B9"/>
    <w:rsid w:val="003C4682"/>
    <w:rsid w:val="003C484C"/>
    <w:rsid w:val="003C4A18"/>
    <w:rsid w:val="003C4BF6"/>
    <w:rsid w:val="003C4C7B"/>
    <w:rsid w:val="003C4DF7"/>
    <w:rsid w:val="003C4E09"/>
    <w:rsid w:val="003C4F1B"/>
    <w:rsid w:val="003C511E"/>
    <w:rsid w:val="003C5197"/>
    <w:rsid w:val="003C5243"/>
    <w:rsid w:val="003C52D6"/>
    <w:rsid w:val="003C52F9"/>
    <w:rsid w:val="003C5454"/>
    <w:rsid w:val="003C54F7"/>
    <w:rsid w:val="003C55CA"/>
    <w:rsid w:val="003C5851"/>
    <w:rsid w:val="003C5922"/>
    <w:rsid w:val="003C5ACF"/>
    <w:rsid w:val="003C5CF7"/>
    <w:rsid w:val="003C5FFC"/>
    <w:rsid w:val="003C6073"/>
    <w:rsid w:val="003C61BF"/>
    <w:rsid w:val="003C65A5"/>
    <w:rsid w:val="003C663C"/>
    <w:rsid w:val="003C6757"/>
    <w:rsid w:val="003C6B8B"/>
    <w:rsid w:val="003C6B9C"/>
    <w:rsid w:val="003C6C07"/>
    <w:rsid w:val="003C6EA5"/>
    <w:rsid w:val="003C716E"/>
    <w:rsid w:val="003C72E0"/>
    <w:rsid w:val="003C7301"/>
    <w:rsid w:val="003C738A"/>
    <w:rsid w:val="003C7925"/>
    <w:rsid w:val="003C7A91"/>
    <w:rsid w:val="003C7B42"/>
    <w:rsid w:val="003C7F75"/>
    <w:rsid w:val="003D0184"/>
    <w:rsid w:val="003D0256"/>
    <w:rsid w:val="003D046A"/>
    <w:rsid w:val="003D0524"/>
    <w:rsid w:val="003D06D2"/>
    <w:rsid w:val="003D0704"/>
    <w:rsid w:val="003D083D"/>
    <w:rsid w:val="003D0947"/>
    <w:rsid w:val="003D095C"/>
    <w:rsid w:val="003D0A66"/>
    <w:rsid w:val="003D0CD8"/>
    <w:rsid w:val="003D0D6A"/>
    <w:rsid w:val="003D1110"/>
    <w:rsid w:val="003D16AC"/>
    <w:rsid w:val="003D19FE"/>
    <w:rsid w:val="003D1B32"/>
    <w:rsid w:val="003D1C2B"/>
    <w:rsid w:val="003D1E41"/>
    <w:rsid w:val="003D2184"/>
    <w:rsid w:val="003D21CB"/>
    <w:rsid w:val="003D224D"/>
    <w:rsid w:val="003D2267"/>
    <w:rsid w:val="003D23EC"/>
    <w:rsid w:val="003D2437"/>
    <w:rsid w:val="003D28DD"/>
    <w:rsid w:val="003D290D"/>
    <w:rsid w:val="003D2AB7"/>
    <w:rsid w:val="003D2B31"/>
    <w:rsid w:val="003D2BE1"/>
    <w:rsid w:val="003D2C81"/>
    <w:rsid w:val="003D2D5D"/>
    <w:rsid w:val="003D3249"/>
    <w:rsid w:val="003D33B2"/>
    <w:rsid w:val="003D3975"/>
    <w:rsid w:val="003D3A5F"/>
    <w:rsid w:val="003D3A6A"/>
    <w:rsid w:val="003D3C18"/>
    <w:rsid w:val="003D3CBD"/>
    <w:rsid w:val="003D3E6B"/>
    <w:rsid w:val="003D3F85"/>
    <w:rsid w:val="003D413F"/>
    <w:rsid w:val="003D427E"/>
    <w:rsid w:val="003D4699"/>
    <w:rsid w:val="003D48B3"/>
    <w:rsid w:val="003D4927"/>
    <w:rsid w:val="003D4A3C"/>
    <w:rsid w:val="003D4DBF"/>
    <w:rsid w:val="003D4E45"/>
    <w:rsid w:val="003D4F0E"/>
    <w:rsid w:val="003D4F12"/>
    <w:rsid w:val="003D4F26"/>
    <w:rsid w:val="003D540F"/>
    <w:rsid w:val="003D54F4"/>
    <w:rsid w:val="003D550B"/>
    <w:rsid w:val="003D5579"/>
    <w:rsid w:val="003D5582"/>
    <w:rsid w:val="003D56F3"/>
    <w:rsid w:val="003D57BD"/>
    <w:rsid w:val="003D5B5D"/>
    <w:rsid w:val="003D5B82"/>
    <w:rsid w:val="003D5B88"/>
    <w:rsid w:val="003D5C0E"/>
    <w:rsid w:val="003D5DDA"/>
    <w:rsid w:val="003D5E26"/>
    <w:rsid w:val="003D5EB5"/>
    <w:rsid w:val="003D6093"/>
    <w:rsid w:val="003D64F5"/>
    <w:rsid w:val="003D659E"/>
    <w:rsid w:val="003D661B"/>
    <w:rsid w:val="003D67CA"/>
    <w:rsid w:val="003D681B"/>
    <w:rsid w:val="003D68E6"/>
    <w:rsid w:val="003D6C03"/>
    <w:rsid w:val="003D6CD5"/>
    <w:rsid w:val="003D6EE9"/>
    <w:rsid w:val="003D7154"/>
    <w:rsid w:val="003D71F1"/>
    <w:rsid w:val="003D72D8"/>
    <w:rsid w:val="003D73B8"/>
    <w:rsid w:val="003D743B"/>
    <w:rsid w:val="003D7456"/>
    <w:rsid w:val="003D746C"/>
    <w:rsid w:val="003D75C5"/>
    <w:rsid w:val="003D767A"/>
    <w:rsid w:val="003D7723"/>
    <w:rsid w:val="003D77A2"/>
    <w:rsid w:val="003D79B4"/>
    <w:rsid w:val="003D79E5"/>
    <w:rsid w:val="003D7C4A"/>
    <w:rsid w:val="003D7C73"/>
    <w:rsid w:val="003D7C9F"/>
    <w:rsid w:val="003D7E44"/>
    <w:rsid w:val="003D7FA2"/>
    <w:rsid w:val="003E0072"/>
    <w:rsid w:val="003E0149"/>
    <w:rsid w:val="003E0299"/>
    <w:rsid w:val="003E02E7"/>
    <w:rsid w:val="003E0494"/>
    <w:rsid w:val="003E05C2"/>
    <w:rsid w:val="003E0617"/>
    <w:rsid w:val="003E061C"/>
    <w:rsid w:val="003E064E"/>
    <w:rsid w:val="003E06AC"/>
    <w:rsid w:val="003E0965"/>
    <w:rsid w:val="003E0AD0"/>
    <w:rsid w:val="003E0C4E"/>
    <w:rsid w:val="003E0D1B"/>
    <w:rsid w:val="003E0D48"/>
    <w:rsid w:val="003E0DE5"/>
    <w:rsid w:val="003E0F02"/>
    <w:rsid w:val="003E0F4F"/>
    <w:rsid w:val="003E106E"/>
    <w:rsid w:val="003E12AC"/>
    <w:rsid w:val="003E134B"/>
    <w:rsid w:val="003E13DE"/>
    <w:rsid w:val="003E1513"/>
    <w:rsid w:val="003E169D"/>
    <w:rsid w:val="003E1D09"/>
    <w:rsid w:val="003E1F43"/>
    <w:rsid w:val="003E1F4C"/>
    <w:rsid w:val="003E25F1"/>
    <w:rsid w:val="003E26BD"/>
    <w:rsid w:val="003E28D8"/>
    <w:rsid w:val="003E2CE9"/>
    <w:rsid w:val="003E2D55"/>
    <w:rsid w:val="003E2DB0"/>
    <w:rsid w:val="003E2E64"/>
    <w:rsid w:val="003E3240"/>
    <w:rsid w:val="003E3316"/>
    <w:rsid w:val="003E33AE"/>
    <w:rsid w:val="003E340F"/>
    <w:rsid w:val="003E379B"/>
    <w:rsid w:val="003E37CD"/>
    <w:rsid w:val="003E37D4"/>
    <w:rsid w:val="003E3A47"/>
    <w:rsid w:val="003E3AA4"/>
    <w:rsid w:val="003E3AD4"/>
    <w:rsid w:val="003E3E26"/>
    <w:rsid w:val="003E3FCA"/>
    <w:rsid w:val="003E4309"/>
    <w:rsid w:val="003E438E"/>
    <w:rsid w:val="003E457E"/>
    <w:rsid w:val="003E4900"/>
    <w:rsid w:val="003E4CDB"/>
    <w:rsid w:val="003E4D49"/>
    <w:rsid w:val="003E4E09"/>
    <w:rsid w:val="003E4E77"/>
    <w:rsid w:val="003E4E87"/>
    <w:rsid w:val="003E5165"/>
    <w:rsid w:val="003E51C9"/>
    <w:rsid w:val="003E5320"/>
    <w:rsid w:val="003E563A"/>
    <w:rsid w:val="003E5647"/>
    <w:rsid w:val="003E5894"/>
    <w:rsid w:val="003E5BD8"/>
    <w:rsid w:val="003E5CE0"/>
    <w:rsid w:val="003E5E13"/>
    <w:rsid w:val="003E5FE6"/>
    <w:rsid w:val="003E6046"/>
    <w:rsid w:val="003E60DA"/>
    <w:rsid w:val="003E6148"/>
    <w:rsid w:val="003E61BA"/>
    <w:rsid w:val="003E625F"/>
    <w:rsid w:val="003E62F3"/>
    <w:rsid w:val="003E6491"/>
    <w:rsid w:val="003E65BC"/>
    <w:rsid w:val="003E67CA"/>
    <w:rsid w:val="003E6891"/>
    <w:rsid w:val="003E6F08"/>
    <w:rsid w:val="003E6F4E"/>
    <w:rsid w:val="003E6F5F"/>
    <w:rsid w:val="003E748B"/>
    <w:rsid w:val="003E758A"/>
    <w:rsid w:val="003E778E"/>
    <w:rsid w:val="003E7A66"/>
    <w:rsid w:val="003E7AB3"/>
    <w:rsid w:val="003E7B44"/>
    <w:rsid w:val="003E7BB3"/>
    <w:rsid w:val="003E7CF9"/>
    <w:rsid w:val="003E7D69"/>
    <w:rsid w:val="003F00E8"/>
    <w:rsid w:val="003F03AF"/>
    <w:rsid w:val="003F054D"/>
    <w:rsid w:val="003F0605"/>
    <w:rsid w:val="003F06A7"/>
    <w:rsid w:val="003F0737"/>
    <w:rsid w:val="003F0A50"/>
    <w:rsid w:val="003F0BA0"/>
    <w:rsid w:val="003F0BE4"/>
    <w:rsid w:val="003F0C3C"/>
    <w:rsid w:val="003F0E2C"/>
    <w:rsid w:val="003F1026"/>
    <w:rsid w:val="003F1105"/>
    <w:rsid w:val="003F1147"/>
    <w:rsid w:val="003F1176"/>
    <w:rsid w:val="003F11EC"/>
    <w:rsid w:val="003F1548"/>
    <w:rsid w:val="003F171B"/>
    <w:rsid w:val="003F1730"/>
    <w:rsid w:val="003F1AE8"/>
    <w:rsid w:val="003F1DF6"/>
    <w:rsid w:val="003F209C"/>
    <w:rsid w:val="003F2124"/>
    <w:rsid w:val="003F21F0"/>
    <w:rsid w:val="003F230D"/>
    <w:rsid w:val="003F25F8"/>
    <w:rsid w:val="003F2724"/>
    <w:rsid w:val="003F27B5"/>
    <w:rsid w:val="003F29C6"/>
    <w:rsid w:val="003F2C30"/>
    <w:rsid w:val="003F2CD2"/>
    <w:rsid w:val="003F2F19"/>
    <w:rsid w:val="003F2FDF"/>
    <w:rsid w:val="003F31F3"/>
    <w:rsid w:val="003F345E"/>
    <w:rsid w:val="003F3607"/>
    <w:rsid w:val="003F3682"/>
    <w:rsid w:val="003F3765"/>
    <w:rsid w:val="003F381F"/>
    <w:rsid w:val="003F38B3"/>
    <w:rsid w:val="003F3ACE"/>
    <w:rsid w:val="003F3D08"/>
    <w:rsid w:val="003F3DB0"/>
    <w:rsid w:val="003F4253"/>
    <w:rsid w:val="003F429F"/>
    <w:rsid w:val="003F42A0"/>
    <w:rsid w:val="003F42C6"/>
    <w:rsid w:val="003F4588"/>
    <w:rsid w:val="003F460A"/>
    <w:rsid w:val="003F4616"/>
    <w:rsid w:val="003F463E"/>
    <w:rsid w:val="003F46E7"/>
    <w:rsid w:val="003F4AEA"/>
    <w:rsid w:val="003F5207"/>
    <w:rsid w:val="003F527A"/>
    <w:rsid w:val="003F5750"/>
    <w:rsid w:val="003F576C"/>
    <w:rsid w:val="003F58A4"/>
    <w:rsid w:val="003F5CEE"/>
    <w:rsid w:val="003F5DB4"/>
    <w:rsid w:val="003F5EF8"/>
    <w:rsid w:val="003F5F4D"/>
    <w:rsid w:val="003F60D1"/>
    <w:rsid w:val="003F6175"/>
    <w:rsid w:val="003F623C"/>
    <w:rsid w:val="003F6256"/>
    <w:rsid w:val="003F6376"/>
    <w:rsid w:val="003F661B"/>
    <w:rsid w:val="003F6736"/>
    <w:rsid w:val="003F6875"/>
    <w:rsid w:val="003F690D"/>
    <w:rsid w:val="003F699B"/>
    <w:rsid w:val="003F6D7A"/>
    <w:rsid w:val="003F6ED4"/>
    <w:rsid w:val="003F6F19"/>
    <w:rsid w:val="003F7121"/>
    <w:rsid w:val="003F716E"/>
    <w:rsid w:val="003F7373"/>
    <w:rsid w:val="003F73A1"/>
    <w:rsid w:val="003F76E3"/>
    <w:rsid w:val="003F7889"/>
    <w:rsid w:val="003F7D2B"/>
    <w:rsid w:val="003F7D68"/>
    <w:rsid w:val="003F7E89"/>
    <w:rsid w:val="003F7F6C"/>
    <w:rsid w:val="00400262"/>
    <w:rsid w:val="0040027A"/>
    <w:rsid w:val="00400607"/>
    <w:rsid w:val="004007C3"/>
    <w:rsid w:val="00400872"/>
    <w:rsid w:val="0040090D"/>
    <w:rsid w:val="00400BD0"/>
    <w:rsid w:val="00400D03"/>
    <w:rsid w:val="004011C4"/>
    <w:rsid w:val="0040131B"/>
    <w:rsid w:val="004014C3"/>
    <w:rsid w:val="0040156B"/>
    <w:rsid w:val="00401572"/>
    <w:rsid w:val="004015D5"/>
    <w:rsid w:val="00401B8C"/>
    <w:rsid w:val="00401C86"/>
    <w:rsid w:val="00401CF5"/>
    <w:rsid w:val="00401DA7"/>
    <w:rsid w:val="004020AA"/>
    <w:rsid w:val="00402220"/>
    <w:rsid w:val="00402290"/>
    <w:rsid w:val="00402425"/>
    <w:rsid w:val="004024BE"/>
    <w:rsid w:val="004024EF"/>
    <w:rsid w:val="00402512"/>
    <w:rsid w:val="00402527"/>
    <w:rsid w:val="00402582"/>
    <w:rsid w:val="00402590"/>
    <w:rsid w:val="0040272B"/>
    <w:rsid w:val="004027CF"/>
    <w:rsid w:val="004027D5"/>
    <w:rsid w:val="00402932"/>
    <w:rsid w:val="00402AF5"/>
    <w:rsid w:val="00402C90"/>
    <w:rsid w:val="00402CD2"/>
    <w:rsid w:val="00402CF6"/>
    <w:rsid w:val="00402D1B"/>
    <w:rsid w:val="00402D77"/>
    <w:rsid w:val="00402D7D"/>
    <w:rsid w:val="00402D8D"/>
    <w:rsid w:val="00402EB3"/>
    <w:rsid w:val="00403050"/>
    <w:rsid w:val="004030C0"/>
    <w:rsid w:val="004034A2"/>
    <w:rsid w:val="0040362E"/>
    <w:rsid w:val="0040374C"/>
    <w:rsid w:val="0040386E"/>
    <w:rsid w:val="00403948"/>
    <w:rsid w:val="00403C22"/>
    <w:rsid w:val="00403F89"/>
    <w:rsid w:val="004042A7"/>
    <w:rsid w:val="00404342"/>
    <w:rsid w:val="004045D9"/>
    <w:rsid w:val="004046E1"/>
    <w:rsid w:val="004048A0"/>
    <w:rsid w:val="00404BA6"/>
    <w:rsid w:val="00404C8D"/>
    <w:rsid w:val="00404D91"/>
    <w:rsid w:val="00404F52"/>
    <w:rsid w:val="004051C6"/>
    <w:rsid w:val="00405202"/>
    <w:rsid w:val="004054A9"/>
    <w:rsid w:val="004054B2"/>
    <w:rsid w:val="0040586B"/>
    <w:rsid w:val="00405A3B"/>
    <w:rsid w:val="00405B59"/>
    <w:rsid w:val="00405E53"/>
    <w:rsid w:val="00405F9F"/>
    <w:rsid w:val="00406084"/>
    <w:rsid w:val="00406102"/>
    <w:rsid w:val="00406478"/>
    <w:rsid w:val="004064DA"/>
    <w:rsid w:val="00406731"/>
    <w:rsid w:val="00406925"/>
    <w:rsid w:val="00406FA7"/>
    <w:rsid w:val="00406FEE"/>
    <w:rsid w:val="00407018"/>
    <w:rsid w:val="0040706C"/>
    <w:rsid w:val="004070DE"/>
    <w:rsid w:val="0040793B"/>
    <w:rsid w:val="00407A32"/>
    <w:rsid w:val="00407B7A"/>
    <w:rsid w:val="00407BC3"/>
    <w:rsid w:val="00407C19"/>
    <w:rsid w:val="00407D0D"/>
    <w:rsid w:val="00407D23"/>
    <w:rsid w:val="00407EE2"/>
    <w:rsid w:val="00407F8E"/>
    <w:rsid w:val="00407FA3"/>
    <w:rsid w:val="00407FAD"/>
    <w:rsid w:val="004105D0"/>
    <w:rsid w:val="004106F4"/>
    <w:rsid w:val="00410776"/>
    <w:rsid w:val="00410945"/>
    <w:rsid w:val="00410A0C"/>
    <w:rsid w:val="00410BD1"/>
    <w:rsid w:val="00410C86"/>
    <w:rsid w:val="00410C9A"/>
    <w:rsid w:val="00410DD7"/>
    <w:rsid w:val="00410E4C"/>
    <w:rsid w:val="00410E5D"/>
    <w:rsid w:val="00410EF6"/>
    <w:rsid w:val="00410FF0"/>
    <w:rsid w:val="00411031"/>
    <w:rsid w:val="00411084"/>
    <w:rsid w:val="004110B3"/>
    <w:rsid w:val="00411215"/>
    <w:rsid w:val="00411602"/>
    <w:rsid w:val="00411671"/>
    <w:rsid w:val="0041175C"/>
    <w:rsid w:val="004117A3"/>
    <w:rsid w:val="004117C7"/>
    <w:rsid w:val="00411909"/>
    <w:rsid w:val="00411911"/>
    <w:rsid w:val="00411A6A"/>
    <w:rsid w:val="00411A98"/>
    <w:rsid w:val="00411CFD"/>
    <w:rsid w:val="00411D08"/>
    <w:rsid w:val="00411E18"/>
    <w:rsid w:val="00411E43"/>
    <w:rsid w:val="00411EB7"/>
    <w:rsid w:val="00412214"/>
    <w:rsid w:val="00412295"/>
    <w:rsid w:val="0041246D"/>
    <w:rsid w:val="00412638"/>
    <w:rsid w:val="004126D3"/>
    <w:rsid w:val="004127DF"/>
    <w:rsid w:val="004128F4"/>
    <w:rsid w:val="00412A3D"/>
    <w:rsid w:val="00412B46"/>
    <w:rsid w:val="00412DD6"/>
    <w:rsid w:val="00412DFE"/>
    <w:rsid w:val="00412EB2"/>
    <w:rsid w:val="00412ED1"/>
    <w:rsid w:val="004130CB"/>
    <w:rsid w:val="004132B0"/>
    <w:rsid w:val="0041330D"/>
    <w:rsid w:val="004133E1"/>
    <w:rsid w:val="0041360E"/>
    <w:rsid w:val="0041361C"/>
    <w:rsid w:val="0041375E"/>
    <w:rsid w:val="00413834"/>
    <w:rsid w:val="0041386E"/>
    <w:rsid w:val="00413A52"/>
    <w:rsid w:val="00413AFA"/>
    <w:rsid w:val="00413E1F"/>
    <w:rsid w:val="00413EB2"/>
    <w:rsid w:val="00413EC4"/>
    <w:rsid w:val="00413EC9"/>
    <w:rsid w:val="00414071"/>
    <w:rsid w:val="0041460B"/>
    <w:rsid w:val="004148CD"/>
    <w:rsid w:val="004149AF"/>
    <w:rsid w:val="004149FF"/>
    <w:rsid w:val="00414AC0"/>
    <w:rsid w:val="00414B73"/>
    <w:rsid w:val="00414BDB"/>
    <w:rsid w:val="00414BEF"/>
    <w:rsid w:val="00414E7D"/>
    <w:rsid w:val="00414F22"/>
    <w:rsid w:val="0041509E"/>
    <w:rsid w:val="0041521F"/>
    <w:rsid w:val="00415226"/>
    <w:rsid w:val="004152AD"/>
    <w:rsid w:val="004152D2"/>
    <w:rsid w:val="0041536C"/>
    <w:rsid w:val="004153B1"/>
    <w:rsid w:val="00415418"/>
    <w:rsid w:val="004154B0"/>
    <w:rsid w:val="00415564"/>
    <w:rsid w:val="00415589"/>
    <w:rsid w:val="004157EC"/>
    <w:rsid w:val="00415847"/>
    <w:rsid w:val="0041598E"/>
    <w:rsid w:val="00415AEA"/>
    <w:rsid w:val="00415C41"/>
    <w:rsid w:val="004160A3"/>
    <w:rsid w:val="004162BB"/>
    <w:rsid w:val="004164CA"/>
    <w:rsid w:val="004165CE"/>
    <w:rsid w:val="004169A2"/>
    <w:rsid w:val="00416D43"/>
    <w:rsid w:val="00416E10"/>
    <w:rsid w:val="00416FB3"/>
    <w:rsid w:val="00417204"/>
    <w:rsid w:val="00417333"/>
    <w:rsid w:val="0041733A"/>
    <w:rsid w:val="00417418"/>
    <w:rsid w:val="0041741F"/>
    <w:rsid w:val="00417472"/>
    <w:rsid w:val="00417639"/>
    <w:rsid w:val="00417820"/>
    <w:rsid w:val="0041797A"/>
    <w:rsid w:val="004179E2"/>
    <w:rsid w:val="00417C2D"/>
    <w:rsid w:val="00417C85"/>
    <w:rsid w:val="004200C4"/>
    <w:rsid w:val="00420100"/>
    <w:rsid w:val="00420320"/>
    <w:rsid w:val="004203F0"/>
    <w:rsid w:val="0042048C"/>
    <w:rsid w:val="004206D8"/>
    <w:rsid w:val="00420705"/>
    <w:rsid w:val="00420E77"/>
    <w:rsid w:val="004210AD"/>
    <w:rsid w:val="004213BC"/>
    <w:rsid w:val="004213F2"/>
    <w:rsid w:val="00421577"/>
    <w:rsid w:val="004217C2"/>
    <w:rsid w:val="004217C5"/>
    <w:rsid w:val="004217E4"/>
    <w:rsid w:val="00421969"/>
    <w:rsid w:val="00421A73"/>
    <w:rsid w:val="00421A8A"/>
    <w:rsid w:val="00421B01"/>
    <w:rsid w:val="00421BF8"/>
    <w:rsid w:val="00421CBD"/>
    <w:rsid w:val="00421D86"/>
    <w:rsid w:val="00421E10"/>
    <w:rsid w:val="00421EE0"/>
    <w:rsid w:val="004220B8"/>
    <w:rsid w:val="0042222A"/>
    <w:rsid w:val="004224B4"/>
    <w:rsid w:val="0042254A"/>
    <w:rsid w:val="00422552"/>
    <w:rsid w:val="00422687"/>
    <w:rsid w:val="00422C4D"/>
    <w:rsid w:val="00422D01"/>
    <w:rsid w:val="00422EB1"/>
    <w:rsid w:val="00422EC4"/>
    <w:rsid w:val="004230EF"/>
    <w:rsid w:val="0042330D"/>
    <w:rsid w:val="00423332"/>
    <w:rsid w:val="004234BF"/>
    <w:rsid w:val="00423650"/>
    <w:rsid w:val="0042371D"/>
    <w:rsid w:val="004237CE"/>
    <w:rsid w:val="00423904"/>
    <w:rsid w:val="004239A0"/>
    <w:rsid w:val="00423D35"/>
    <w:rsid w:val="00423D8E"/>
    <w:rsid w:val="004240AC"/>
    <w:rsid w:val="00424193"/>
    <w:rsid w:val="00424255"/>
    <w:rsid w:val="00424344"/>
    <w:rsid w:val="00424510"/>
    <w:rsid w:val="004246F2"/>
    <w:rsid w:val="00424991"/>
    <w:rsid w:val="00424B21"/>
    <w:rsid w:val="00424C09"/>
    <w:rsid w:val="00424CFE"/>
    <w:rsid w:val="00424D07"/>
    <w:rsid w:val="00424D48"/>
    <w:rsid w:val="00424DE1"/>
    <w:rsid w:val="00425153"/>
    <w:rsid w:val="00425190"/>
    <w:rsid w:val="004251E6"/>
    <w:rsid w:val="00425407"/>
    <w:rsid w:val="00425418"/>
    <w:rsid w:val="004254EC"/>
    <w:rsid w:val="004255DD"/>
    <w:rsid w:val="00425627"/>
    <w:rsid w:val="004256C9"/>
    <w:rsid w:val="004256CA"/>
    <w:rsid w:val="00425716"/>
    <w:rsid w:val="00425760"/>
    <w:rsid w:val="00425C52"/>
    <w:rsid w:val="00425C7F"/>
    <w:rsid w:val="00425CCC"/>
    <w:rsid w:val="00425E2E"/>
    <w:rsid w:val="00425F10"/>
    <w:rsid w:val="00425F4B"/>
    <w:rsid w:val="00425FC6"/>
    <w:rsid w:val="00425FCA"/>
    <w:rsid w:val="004261D9"/>
    <w:rsid w:val="004261F7"/>
    <w:rsid w:val="00426266"/>
    <w:rsid w:val="00426285"/>
    <w:rsid w:val="004262A1"/>
    <w:rsid w:val="00426470"/>
    <w:rsid w:val="0042656F"/>
    <w:rsid w:val="0042666C"/>
    <w:rsid w:val="00426ADD"/>
    <w:rsid w:val="00426E2D"/>
    <w:rsid w:val="00426E75"/>
    <w:rsid w:val="0042712A"/>
    <w:rsid w:val="0042715D"/>
    <w:rsid w:val="0042728D"/>
    <w:rsid w:val="004272A3"/>
    <w:rsid w:val="004273E3"/>
    <w:rsid w:val="0042748B"/>
    <w:rsid w:val="00427731"/>
    <w:rsid w:val="00427746"/>
    <w:rsid w:val="00427776"/>
    <w:rsid w:val="00427829"/>
    <w:rsid w:val="004278B1"/>
    <w:rsid w:val="00427927"/>
    <w:rsid w:val="00427B45"/>
    <w:rsid w:val="00427BFF"/>
    <w:rsid w:val="00427CA2"/>
    <w:rsid w:val="00427EA7"/>
    <w:rsid w:val="00427F02"/>
    <w:rsid w:val="00427F5A"/>
    <w:rsid w:val="004300CB"/>
    <w:rsid w:val="00430182"/>
    <w:rsid w:val="0043027F"/>
    <w:rsid w:val="004304E2"/>
    <w:rsid w:val="0043065E"/>
    <w:rsid w:val="00430691"/>
    <w:rsid w:val="00430850"/>
    <w:rsid w:val="0043095C"/>
    <w:rsid w:val="004309A7"/>
    <w:rsid w:val="004309BA"/>
    <w:rsid w:val="004309CB"/>
    <w:rsid w:val="00430A6B"/>
    <w:rsid w:val="00430AA7"/>
    <w:rsid w:val="00430CE4"/>
    <w:rsid w:val="00430CE9"/>
    <w:rsid w:val="00430E4E"/>
    <w:rsid w:val="00430FE0"/>
    <w:rsid w:val="00431001"/>
    <w:rsid w:val="00431234"/>
    <w:rsid w:val="00431257"/>
    <w:rsid w:val="004313B2"/>
    <w:rsid w:val="004314E7"/>
    <w:rsid w:val="00431865"/>
    <w:rsid w:val="004318F3"/>
    <w:rsid w:val="00431A05"/>
    <w:rsid w:val="00431CE2"/>
    <w:rsid w:val="00431CF0"/>
    <w:rsid w:val="00431F25"/>
    <w:rsid w:val="00431F56"/>
    <w:rsid w:val="00432150"/>
    <w:rsid w:val="00432286"/>
    <w:rsid w:val="004322AA"/>
    <w:rsid w:val="004326AF"/>
    <w:rsid w:val="00432757"/>
    <w:rsid w:val="0043287C"/>
    <w:rsid w:val="00432AD1"/>
    <w:rsid w:val="00432C7B"/>
    <w:rsid w:val="00432DC0"/>
    <w:rsid w:val="00432E19"/>
    <w:rsid w:val="0043317D"/>
    <w:rsid w:val="0043328E"/>
    <w:rsid w:val="00433455"/>
    <w:rsid w:val="00433559"/>
    <w:rsid w:val="00433669"/>
    <w:rsid w:val="00433763"/>
    <w:rsid w:val="0043388A"/>
    <w:rsid w:val="00433957"/>
    <w:rsid w:val="00433ACD"/>
    <w:rsid w:val="00433D43"/>
    <w:rsid w:val="00433F45"/>
    <w:rsid w:val="00433FDA"/>
    <w:rsid w:val="00434003"/>
    <w:rsid w:val="004341CD"/>
    <w:rsid w:val="00434205"/>
    <w:rsid w:val="0043450E"/>
    <w:rsid w:val="004345D5"/>
    <w:rsid w:val="004346A1"/>
    <w:rsid w:val="004346F9"/>
    <w:rsid w:val="00434737"/>
    <w:rsid w:val="00434934"/>
    <w:rsid w:val="00434A5E"/>
    <w:rsid w:val="00434BB1"/>
    <w:rsid w:val="0043509B"/>
    <w:rsid w:val="00435387"/>
    <w:rsid w:val="004353EF"/>
    <w:rsid w:val="00435480"/>
    <w:rsid w:val="00435A40"/>
    <w:rsid w:val="00435B61"/>
    <w:rsid w:val="00435BC1"/>
    <w:rsid w:val="00435C54"/>
    <w:rsid w:val="00435DCD"/>
    <w:rsid w:val="00435EAB"/>
    <w:rsid w:val="00436021"/>
    <w:rsid w:val="0043602E"/>
    <w:rsid w:val="00436064"/>
    <w:rsid w:val="0043606B"/>
    <w:rsid w:val="00436280"/>
    <w:rsid w:val="004362B1"/>
    <w:rsid w:val="004362E7"/>
    <w:rsid w:val="004364DB"/>
    <w:rsid w:val="00436D0B"/>
    <w:rsid w:val="00436DA5"/>
    <w:rsid w:val="00436DBD"/>
    <w:rsid w:val="00436DF8"/>
    <w:rsid w:val="0043705F"/>
    <w:rsid w:val="00437229"/>
    <w:rsid w:val="00437236"/>
    <w:rsid w:val="0043733C"/>
    <w:rsid w:val="004373F4"/>
    <w:rsid w:val="0043740D"/>
    <w:rsid w:val="00437441"/>
    <w:rsid w:val="00437545"/>
    <w:rsid w:val="00437A23"/>
    <w:rsid w:val="00437C5F"/>
    <w:rsid w:val="00437FE4"/>
    <w:rsid w:val="0044021D"/>
    <w:rsid w:val="00440258"/>
    <w:rsid w:val="0044027C"/>
    <w:rsid w:val="00440330"/>
    <w:rsid w:val="00440387"/>
    <w:rsid w:val="004403F5"/>
    <w:rsid w:val="00440727"/>
    <w:rsid w:val="004408E0"/>
    <w:rsid w:val="004409A1"/>
    <w:rsid w:val="00440AED"/>
    <w:rsid w:val="00440BED"/>
    <w:rsid w:val="00440C49"/>
    <w:rsid w:val="00440D52"/>
    <w:rsid w:val="00440E34"/>
    <w:rsid w:val="004410BD"/>
    <w:rsid w:val="0044133D"/>
    <w:rsid w:val="004413EA"/>
    <w:rsid w:val="0044163B"/>
    <w:rsid w:val="004416DA"/>
    <w:rsid w:val="00441756"/>
    <w:rsid w:val="00441767"/>
    <w:rsid w:val="004418AA"/>
    <w:rsid w:val="004419E7"/>
    <w:rsid w:val="004419F9"/>
    <w:rsid w:val="00441B05"/>
    <w:rsid w:val="00441B88"/>
    <w:rsid w:val="00441BD9"/>
    <w:rsid w:val="00441C9C"/>
    <w:rsid w:val="00441E7C"/>
    <w:rsid w:val="00441FBF"/>
    <w:rsid w:val="0044251D"/>
    <w:rsid w:val="004427B1"/>
    <w:rsid w:val="00442884"/>
    <w:rsid w:val="0044293C"/>
    <w:rsid w:val="00442ADD"/>
    <w:rsid w:val="00442B8A"/>
    <w:rsid w:val="00443182"/>
    <w:rsid w:val="00443317"/>
    <w:rsid w:val="00443338"/>
    <w:rsid w:val="00443431"/>
    <w:rsid w:val="00443454"/>
    <w:rsid w:val="004435A3"/>
    <w:rsid w:val="004438B4"/>
    <w:rsid w:val="004438C7"/>
    <w:rsid w:val="004438D0"/>
    <w:rsid w:val="0044397E"/>
    <w:rsid w:val="00443AA9"/>
    <w:rsid w:val="00443C31"/>
    <w:rsid w:val="00443C61"/>
    <w:rsid w:val="00443C9C"/>
    <w:rsid w:val="00443D97"/>
    <w:rsid w:val="00443E01"/>
    <w:rsid w:val="00443F9D"/>
    <w:rsid w:val="00444007"/>
    <w:rsid w:val="004440A6"/>
    <w:rsid w:val="00444252"/>
    <w:rsid w:val="00444297"/>
    <w:rsid w:val="004442AD"/>
    <w:rsid w:val="0044445D"/>
    <w:rsid w:val="0044481B"/>
    <w:rsid w:val="00444A24"/>
    <w:rsid w:val="00444C76"/>
    <w:rsid w:val="00444E29"/>
    <w:rsid w:val="0044514D"/>
    <w:rsid w:val="0044525D"/>
    <w:rsid w:val="00445375"/>
    <w:rsid w:val="004457B1"/>
    <w:rsid w:val="0044598A"/>
    <w:rsid w:val="0044599C"/>
    <w:rsid w:val="00445E51"/>
    <w:rsid w:val="004461AB"/>
    <w:rsid w:val="0044652C"/>
    <w:rsid w:val="00446574"/>
    <w:rsid w:val="00446A31"/>
    <w:rsid w:val="00446B3A"/>
    <w:rsid w:val="00446FCD"/>
    <w:rsid w:val="0044708A"/>
    <w:rsid w:val="00447118"/>
    <w:rsid w:val="004472AF"/>
    <w:rsid w:val="00447341"/>
    <w:rsid w:val="004474C0"/>
    <w:rsid w:val="004476AE"/>
    <w:rsid w:val="004476D4"/>
    <w:rsid w:val="00447753"/>
    <w:rsid w:val="00447787"/>
    <w:rsid w:val="0044789B"/>
    <w:rsid w:val="004479AA"/>
    <w:rsid w:val="00447F0C"/>
    <w:rsid w:val="004504B8"/>
    <w:rsid w:val="00450823"/>
    <w:rsid w:val="00450852"/>
    <w:rsid w:val="004508C5"/>
    <w:rsid w:val="00450952"/>
    <w:rsid w:val="00450981"/>
    <w:rsid w:val="00450B55"/>
    <w:rsid w:val="00450B85"/>
    <w:rsid w:val="00450C0D"/>
    <w:rsid w:val="00450CE7"/>
    <w:rsid w:val="004510D5"/>
    <w:rsid w:val="004512A8"/>
    <w:rsid w:val="004512AC"/>
    <w:rsid w:val="00451468"/>
    <w:rsid w:val="004514DF"/>
    <w:rsid w:val="0045186B"/>
    <w:rsid w:val="00451929"/>
    <w:rsid w:val="00451DA8"/>
    <w:rsid w:val="00451F6C"/>
    <w:rsid w:val="0045205B"/>
    <w:rsid w:val="00452283"/>
    <w:rsid w:val="00452392"/>
    <w:rsid w:val="00452455"/>
    <w:rsid w:val="004524F5"/>
    <w:rsid w:val="004528B3"/>
    <w:rsid w:val="00452D61"/>
    <w:rsid w:val="00453076"/>
    <w:rsid w:val="004531EA"/>
    <w:rsid w:val="00453276"/>
    <w:rsid w:val="00453482"/>
    <w:rsid w:val="00453661"/>
    <w:rsid w:val="004537DD"/>
    <w:rsid w:val="00453C80"/>
    <w:rsid w:val="00453F35"/>
    <w:rsid w:val="00454119"/>
    <w:rsid w:val="00454324"/>
    <w:rsid w:val="0045432D"/>
    <w:rsid w:val="00454388"/>
    <w:rsid w:val="00454392"/>
    <w:rsid w:val="004543A6"/>
    <w:rsid w:val="004543C9"/>
    <w:rsid w:val="0045454F"/>
    <w:rsid w:val="004546BD"/>
    <w:rsid w:val="004546DD"/>
    <w:rsid w:val="004548BC"/>
    <w:rsid w:val="0045494C"/>
    <w:rsid w:val="00454A10"/>
    <w:rsid w:val="00454D6C"/>
    <w:rsid w:val="00454FBE"/>
    <w:rsid w:val="00455214"/>
    <w:rsid w:val="00455247"/>
    <w:rsid w:val="00455261"/>
    <w:rsid w:val="00455292"/>
    <w:rsid w:val="004553F3"/>
    <w:rsid w:val="00455441"/>
    <w:rsid w:val="00455492"/>
    <w:rsid w:val="0045581E"/>
    <w:rsid w:val="00455828"/>
    <w:rsid w:val="00455912"/>
    <w:rsid w:val="00455C48"/>
    <w:rsid w:val="00455D3C"/>
    <w:rsid w:val="00455D52"/>
    <w:rsid w:val="00455E66"/>
    <w:rsid w:val="00456160"/>
    <w:rsid w:val="00456335"/>
    <w:rsid w:val="0045648D"/>
    <w:rsid w:val="00456672"/>
    <w:rsid w:val="004567DA"/>
    <w:rsid w:val="00456909"/>
    <w:rsid w:val="0045698F"/>
    <w:rsid w:val="004569B5"/>
    <w:rsid w:val="00456A23"/>
    <w:rsid w:val="00456AEB"/>
    <w:rsid w:val="00456B06"/>
    <w:rsid w:val="00456BCA"/>
    <w:rsid w:val="00456D42"/>
    <w:rsid w:val="00456D78"/>
    <w:rsid w:val="00456DEB"/>
    <w:rsid w:val="00456E57"/>
    <w:rsid w:val="00457002"/>
    <w:rsid w:val="0045716E"/>
    <w:rsid w:val="004571A4"/>
    <w:rsid w:val="0045723E"/>
    <w:rsid w:val="00457420"/>
    <w:rsid w:val="0045746A"/>
    <w:rsid w:val="0045747B"/>
    <w:rsid w:val="004577E1"/>
    <w:rsid w:val="00457892"/>
    <w:rsid w:val="004578C7"/>
    <w:rsid w:val="00457964"/>
    <w:rsid w:val="00457D8F"/>
    <w:rsid w:val="0046029D"/>
    <w:rsid w:val="004604BE"/>
    <w:rsid w:val="0046054B"/>
    <w:rsid w:val="004605A7"/>
    <w:rsid w:val="00460735"/>
    <w:rsid w:val="00460AB4"/>
    <w:rsid w:val="00460ED5"/>
    <w:rsid w:val="00460FA5"/>
    <w:rsid w:val="00460FAB"/>
    <w:rsid w:val="00461297"/>
    <w:rsid w:val="004615C9"/>
    <w:rsid w:val="0046163B"/>
    <w:rsid w:val="004616D5"/>
    <w:rsid w:val="0046175F"/>
    <w:rsid w:val="0046185E"/>
    <w:rsid w:val="004619ED"/>
    <w:rsid w:val="00461B76"/>
    <w:rsid w:val="00461BBE"/>
    <w:rsid w:val="00461C6A"/>
    <w:rsid w:val="00461D12"/>
    <w:rsid w:val="0046200C"/>
    <w:rsid w:val="0046215E"/>
    <w:rsid w:val="004621F8"/>
    <w:rsid w:val="004622BA"/>
    <w:rsid w:val="0046239D"/>
    <w:rsid w:val="004624B1"/>
    <w:rsid w:val="00462715"/>
    <w:rsid w:val="00462A5F"/>
    <w:rsid w:val="00462A73"/>
    <w:rsid w:val="00462D1E"/>
    <w:rsid w:val="0046309A"/>
    <w:rsid w:val="00463574"/>
    <w:rsid w:val="00463610"/>
    <w:rsid w:val="0046366A"/>
    <w:rsid w:val="00463894"/>
    <w:rsid w:val="00463C33"/>
    <w:rsid w:val="00463DA1"/>
    <w:rsid w:val="00463EBF"/>
    <w:rsid w:val="00463F1F"/>
    <w:rsid w:val="00463F29"/>
    <w:rsid w:val="00463F6E"/>
    <w:rsid w:val="00463F82"/>
    <w:rsid w:val="00464209"/>
    <w:rsid w:val="00464241"/>
    <w:rsid w:val="004642F5"/>
    <w:rsid w:val="00464370"/>
    <w:rsid w:val="004646F9"/>
    <w:rsid w:val="004646FA"/>
    <w:rsid w:val="004647EE"/>
    <w:rsid w:val="00464A54"/>
    <w:rsid w:val="00464D44"/>
    <w:rsid w:val="00464F90"/>
    <w:rsid w:val="00465307"/>
    <w:rsid w:val="004653D6"/>
    <w:rsid w:val="00465620"/>
    <w:rsid w:val="00465633"/>
    <w:rsid w:val="00465696"/>
    <w:rsid w:val="00465702"/>
    <w:rsid w:val="00465788"/>
    <w:rsid w:val="00465792"/>
    <w:rsid w:val="004657C1"/>
    <w:rsid w:val="00465AC4"/>
    <w:rsid w:val="00465C04"/>
    <w:rsid w:val="00465E25"/>
    <w:rsid w:val="0046625E"/>
    <w:rsid w:val="00466289"/>
    <w:rsid w:val="00466405"/>
    <w:rsid w:val="004664C2"/>
    <w:rsid w:val="004667CC"/>
    <w:rsid w:val="00466849"/>
    <w:rsid w:val="0046685F"/>
    <w:rsid w:val="004668CE"/>
    <w:rsid w:val="00466983"/>
    <w:rsid w:val="004669B7"/>
    <w:rsid w:val="00466E4C"/>
    <w:rsid w:val="00466EA0"/>
    <w:rsid w:val="00466EBB"/>
    <w:rsid w:val="00466F4C"/>
    <w:rsid w:val="00466FD4"/>
    <w:rsid w:val="004671AA"/>
    <w:rsid w:val="00467234"/>
    <w:rsid w:val="00467349"/>
    <w:rsid w:val="00467752"/>
    <w:rsid w:val="0046791D"/>
    <w:rsid w:val="004679F5"/>
    <w:rsid w:val="0047003D"/>
    <w:rsid w:val="00470592"/>
    <w:rsid w:val="00470857"/>
    <w:rsid w:val="00470863"/>
    <w:rsid w:val="004708EB"/>
    <w:rsid w:val="0047098C"/>
    <w:rsid w:val="00470A47"/>
    <w:rsid w:val="00470B62"/>
    <w:rsid w:val="00471052"/>
    <w:rsid w:val="004711CC"/>
    <w:rsid w:val="004711EF"/>
    <w:rsid w:val="004713A1"/>
    <w:rsid w:val="00471457"/>
    <w:rsid w:val="00471486"/>
    <w:rsid w:val="0047164D"/>
    <w:rsid w:val="004717E0"/>
    <w:rsid w:val="004723B5"/>
    <w:rsid w:val="004727EB"/>
    <w:rsid w:val="00472E13"/>
    <w:rsid w:val="00472F00"/>
    <w:rsid w:val="00472F6F"/>
    <w:rsid w:val="004730C8"/>
    <w:rsid w:val="00473535"/>
    <w:rsid w:val="00473808"/>
    <w:rsid w:val="00473824"/>
    <w:rsid w:val="00473835"/>
    <w:rsid w:val="0047383F"/>
    <w:rsid w:val="00473939"/>
    <w:rsid w:val="00473998"/>
    <w:rsid w:val="004739E4"/>
    <w:rsid w:val="00473A88"/>
    <w:rsid w:val="00473BAC"/>
    <w:rsid w:val="00473D3E"/>
    <w:rsid w:val="00473D45"/>
    <w:rsid w:val="004742F1"/>
    <w:rsid w:val="00474422"/>
    <w:rsid w:val="004745D6"/>
    <w:rsid w:val="004747BE"/>
    <w:rsid w:val="00474AE0"/>
    <w:rsid w:val="00474B9F"/>
    <w:rsid w:val="00474D94"/>
    <w:rsid w:val="00475603"/>
    <w:rsid w:val="00475E2A"/>
    <w:rsid w:val="004760E7"/>
    <w:rsid w:val="0047614F"/>
    <w:rsid w:val="00476711"/>
    <w:rsid w:val="00476726"/>
    <w:rsid w:val="00476729"/>
    <w:rsid w:val="0047677F"/>
    <w:rsid w:val="00476788"/>
    <w:rsid w:val="004767CB"/>
    <w:rsid w:val="0047697B"/>
    <w:rsid w:val="00476ACE"/>
    <w:rsid w:val="00476B12"/>
    <w:rsid w:val="00476B47"/>
    <w:rsid w:val="00476D1F"/>
    <w:rsid w:val="00476E00"/>
    <w:rsid w:val="00476ED4"/>
    <w:rsid w:val="00476F7D"/>
    <w:rsid w:val="004774E9"/>
    <w:rsid w:val="004776C6"/>
    <w:rsid w:val="00477818"/>
    <w:rsid w:val="0047782A"/>
    <w:rsid w:val="0047788E"/>
    <w:rsid w:val="00477924"/>
    <w:rsid w:val="0047797F"/>
    <w:rsid w:val="00477A09"/>
    <w:rsid w:val="00477A91"/>
    <w:rsid w:val="00477AA5"/>
    <w:rsid w:val="00477AA6"/>
    <w:rsid w:val="00477DBA"/>
    <w:rsid w:val="00477E7C"/>
    <w:rsid w:val="00480000"/>
    <w:rsid w:val="0048019C"/>
    <w:rsid w:val="00480297"/>
    <w:rsid w:val="004804E4"/>
    <w:rsid w:val="0048057F"/>
    <w:rsid w:val="0048060E"/>
    <w:rsid w:val="004806B6"/>
    <w:rsid w:val="0048071F"/>
    <w:rsid w:val="004808A9"/>
    <w:rsid w:val="004809D1"/>
    <w:rsid w:val="004809E3"/>
    <w:rsid w:val="0048101A"/>
    <w:rsid w:val="0048138B"/>
    <w:rsid w:val="00481627"/>
    <w:rsid w:val="004816C2"/>
    <w:rsid w:val="0048197E"/>
    <w:rsid w:val="004819C5"/>
    <w:rsid w:val="00481CA6"/>
    <w:rsid w:val="00481CAB"/>
    <w:rsid w:val="00481CD5"/>
    <w:rsid w:val="00481CD8"/>
    <w:rsid w:val="00481D4D"/>
    <w:rsid w:val="00481F46"/>
    <w:rsid w:val="00481F9A"/>
    <w:rsid w:val="004824B8"/>
    <w:rsid w:val="0048288D"/>
    <w:rsid w:val="00482BFA"/>
    <w:rsid w:val="00482C4B"/>
    <w:rsid w:val="00482E67"/>
    <w:rsid w:val="00482EA9"/>
    <w:rsid w:val="00482F5B"/>
    <w:rsid w:val="004830C3"/>
    <w:rsid w:val="00483415"/>
    <w:rsid w:val="0048342E"/>
    <w:rsid w:val="00483501"/>
    <w:rsid w:val="004835C7"/>
    <w:rsid w:val="0048362B"/>
    <w:rsid w:val="00483704"/>
    <w:rsid w:val="004837A8"/>
    <w:rsid w:val="00483888"/>
    <w:rsid w:val="00483B0F"/>
    <w:rsid w:val="00483B26"/>
    <w:rsid w:val="00483B5C"/>
    <w:rsid w:val="00483D20"/>
    <w:rsid w:val="00483DB5"/>
    <w:rsid w:val="00483EA8"/>
    <w:rsid w:val="00484556"/>
    <w:rsid w:val="004845A1"/>
    <w:rsid w:val="00484619"/>
    <w:rsid w:val="004846B1"/>
    <w:rsid w:val="0048476F"/>
    <w:rsid w:val="00484831"/>
    <w:rsid w:val="004848A5"/>
    <w:rsid w:val="00484B3D"/>
    <w:rsid w:val="00484B6D"/>
    <w:rsid w:val="00484BEC"/>
    <w:rsid w:val="00484DD2"/>
    <w:rsid w:val="00484DFC"/>
    <w:rsid w:val="004850DE"/>
    <w:rsid w:val="00485193"/>
    <w:rsid w:val="0048520A"/>
    <w:rsid w:val="0048526A"/>
    <w:rsid w:val="004852C9"/>
    <w:rsid w:val="004853C7"/>
    <w:rsid w:val="0048547C"/>
    <w:rsid w:val="004855EA"/>
    <w:rsid w:val="00485647"/>
    <w:rsid w:val="00485650"/>
    <w:rsid w:val="00485830"/>
    <w:rsid w:val="0048597C"/>
    <w:rsid w:val="00485A3E"/>
    <w:rsid w:val="00485AC9"/>
    <w:rsid w:val="00485B29"/>
    <w:rsid w:val="00485E1D"/>
    <w:rsid w:val="00485FF8"/>
    <w:rsid w:val="0048603D"/>
    <w:rsid w:val="00486044"/>
    <w:rsid w:val="0048610C"/>
    <w:rsid w:val="0048630E"/>
    <w:rsid w:val="00486424"/>
    <w:rsid w:val="00486493"/>
    <w:rsid w:val="00486521"/>
    <w:rsid w:val="004865A3"/>
    <w:rsid w:val="004865F6"/>
    <w:rsid w:val="00486773"/>
    <w:rsid w:val="00486827"/>
    <w:rsid w:val="00486A18"/>
    <w:rsid w:val="00486B34"/>
    <w:rsid w:val="00486C49"/>
    <w:rsid w:val="00486D74"/>
    <w:rsid w:val="00486E84"/>
    <w:rsid w:val="004870E8"/>
    <w:rsid w:val="004872FD"/>
    <w:rsid w:val="00487534"/>
    <w:rsid w:val="00487563"/>
    <w:rsid w:val="00487592"/>
    <w:rsid w:val="004878A2"/>
    <w:rsid w:val="0048797C"/>
    <w:rsid w:val="00487A72"/>
    <w:rsid w:val="00487C65"/>
    <w:rsid w:val="00487D24"/>
    <w:rsid w:val="00487DD0"/>
    <w:rsid w:val="00487F3F"/>
    <w:rsid w:val="00487FAE"/>
    <w:rsid w:val="004901A5"/>
    <w:rsid w:val="004901D3"/>
    <w:rsid w:val="0049021A"/>
    <w:rsid w:val="00490456"/>
    <w:rsid w:val="0049079C"/>
    <w:rsid w:val="0049087B"/>
    <w:rsid w:val="00490973"/>
    <w:rsid w:val="004909DA"/>
    <w:rsid w:val="00490B06"/>
    <w:rsid w:val="00490B20"/>
    <w:rsid w:val="00490B9C"/>
    <w:rsid w:val="00490DC3"/>
    <w:rsid w:val="00490E23"/>
    <w:rsid w:val="0049130B"/>
    <w:rsid w:val="004913F8"/>
    <w:rsid w:val="004914F8"/>
    <w:rsid w:val="00491827"/>
    <w:rsid w:val="0049185E"/>
    <w:rsid w:val="004919EB"/>
    <w:rsid w:val="00491E95"/>
    <w:rsid w:val="00492110"/>
    <w:rsid w:val="00492219"/>
    <w:rsid w:val="004922EE"/>
    <w:rsid w:val="00492324"/>
    <w:rsid w:val="00492466"/>
    <w:rsid w:val="004924E1"/>
    <w:rsid w:val="0049288D"/>
    <w:rsid w:val="004928EB"/>
    <w:rsid w:val="00492AF5"/>
    <w:rsid w:val="00492BF4"/>
    <w:rsid w:val="00492CE4"/>
    <w:rsid w:val="00492D71"/>
    <w:rsid w:val="00492E58"/>
    <w:rsid w:val="00493105"/>
    <w:rsid w:val="0049327F"/>
    <w:rsid w:val="004932F1"/>
    <w:rsid w:val="00493356"/>
    <w:rsid w:val="004937C2"/>
    <w:rsid w:val="004938B4"/>
    <w:rsid w:val="004939C6"/>
    <w:rsid w:val="00493AEF"/>
    <w:rsid w:val="00493BD9"/>
    <w:rsid w:val="00493D16"/>
    <w:rsid w:val="00493EA1"/>
    <w:rsid w:val="004941D8"/>
    <w:rsid w:val="004944C9"/>
    <w:rsid w:val="00494B11"/>
    <w:rsid w:val="00494BC9"/>
    <w:rsid w:val="00494BE4"/>
    <w:rsid w:val="00494CF3"/>
    <w:rsid w:val="00494F1E"/>
    <w:rsid w:val="00494FC2"/>
    <w:rsid w:val="00495138"/>
    <w:rsid w:val="0049541D"/>
    <w:rsid w:val="0049555E"/>
    <w:rsid w:val="0049558B"/>
    <w:rsid w:val="0049560E"/>
    <w:rsid w:val="004956BA"/>
    <w:rsid w:val="004956BF"/>
    <w:rsid w:val="004958CA"/>
    <w:rsid w:val="004958ED"/>
    <w:rsid w:val="004959EF"/>
    <w:rsid w:val="00495C01"/>
    <w:rsid w:val="00495C96"/>
    <w:rsid w:val="00495EAC"/>
    <w:rsid w:val="00495F3E"/>
    <w:rsid w:val="00496361"/>
    <w:rsid w:val="0049636D"/>
    <w:rsid w:val="004963A2"/>
    <w:rsid w:val="004963CC"/>
    <w:rsid w:val="0049645C"/>
    <w:rsid w:val="004964ED"/>
    <w:rsid w:val="00496776"/>
    <w:rsid w:val="004968F6"/>
    <w:rsid w:val="00496A61"/>
    <w:rsid w:val="00496B30"/>
    <w:rsid w:val="00496D72"/>
    <w:rsid w:val="00497015"/>
    <w:rsid w:val="0049707C"/>
    <w:rsid w:val="004970A3"/>
    <w:rsid w:val="00497140"/>
    <w:rsid w:val="004972CE"/>
    <w:rsid w:val="004973DD"/>
    <w:rsid w:val="0049760B"/>
    <w:rsid w:val="004977FB"/>
    <w:rsid w:val="00497A65"/>
    <w:rsid w:val="00497AFB"/>
    <w:rsid w:val="00497DF7"/>
    <w:rsid w:val="00497E48"/>
    <w:rsid w:val="004A0034"/>
    <w:rsid w:val="004A00F2"/>
    <w:rsid w:val="004A03C2"/>
    <w:rsid w:val="004A0529"/>
    <w:rsid w:val="004A0551"/>
    <w:rsid w:val="004A07E8"/>
    <w:rsid w:val="004A0946"/>
    <w:rsid w:val="004A0CAD"/>
    <w:rsid w:val="004A0D59"/>
    <w:rsid w:val="004A0D5F"/>
    <w:rsid w:val="004A0EE1"/>
    <w:rsid w:val="004A0F4B"/>
    <w:rsid w:val="004A1604"/>
    <w:rsid w:val="004A16F9"/>
    <w:rsid w:val="004A1A62"/>
    <w:rsid w:val="004A1CAC"/>
    <w:rsid w:val="004A1DF6"/>
    <w:rsid w:val="004A25F2"/>
    <w:rsid w:val="004A283E"/>
    <w:rsid w:val="004A284C"/>
    <w:rsid w:val="004A2BD3"/>
    <w:rsid w:val="004A312D"/>
    <w:rsid w:val="004A332E"/>
    <w:rsid w:val="004A36E7"/>
    <w:rsid w:val="004A3893"/>
    <w:rsid w:val="004A389B"/>
    <w:rsid w:val="004A39AA"/>
    <w:rsid w:val="004A3AEA"/>
    <w:rsid w:val="004A3DBB"/>
    <w:rsid w:val="004A3E24"/>
    <w:rsid w:val="004A4044"/>
    <w:rsid w:val="004A48C8"/>
    <w:rsid w:val="004A4978"/>
    <w:rsid w:val="004A4A5F"/>
    <w:rsid w:val="004A4D2E"/>
    <w:rsid w:val="004A4EB2"/>
    <w:rsid w:val="004A4FCF"/>
    <w:rsid w:val="004A5056"/>
    <w:rsid w:val="004A545D"/>
    <w:rsid w:val="004A55C9"/>
    <w:rsid w:val="004A56D8"/>
    <w:rsid w:val="004A5701"/>
    <w:rsid w:val="004A59C6"/>
    <w:rsid w:val="004A5B9F"/>
    <w:rsid w:val="004A5C2F"/>
    <w:rsid w:val="004A5C63"/>
    <w:rsid w:val="004A5CDB"/>
    <w:rsid w:val="004A6330"/>
    <w:rsid w:val="004A649B"/>
    <w:rsid w:val="004A6573"/>
    <w:rsid w:val="004A65DB"/>
    <w:rsid w:val="004A66D3"/>
    <w:rsid w:val="004A68DB"/>
    <w:rsid w:val="004A6A3A"/>
    <w:rsid w:val="004A6C2E"/>
    <w:rsid w:val="004A6E14"/>
    <w:rsid w:val="004A6E19"/>
    <w:rsid w:val="004A6F8C"/>
    <w:rsid w:val="004A7098"/>
    <w:rsid w:val="004A7110"/>
    <w:rsid w:val="004A714D"/>
    <w:rsid w:val="004A71AC"/>
    <w:rsid w:val="004A76E1"/>
    <w:rsid w:val="004A7899"/>
    <w:rsid w:val="004A78BA"/>
    <w:rsid w:val="004A7AE5"/>
    <w:rsid w:val="004A7D49"/>
    <w:rsid w:val="004A7DAD"/>
    <w:rsid w:val="004A7E80"/>
    <w:rsid w:val="004A7F89"/>
    <w:rsid w:val="004A7FC2"/>
    <w:rsid w:val="004B000D"/>
    <w:rsid w:val="004B0630"/>
    <w:rsid w:val="004B0B42"/>
    <w:rsid w:val="004B0D24"/>
    <w:rsid w:val="004B0E96"/>
    <w:rsid w:val="004B1020"/>
    <w:rsid w:val="004B1070"/>
    <w:rsid w:val="004B11F5"/>
    <w:rsid w:val="004B130A"/>
    <w:rsid w:val="004B13BE"/>
    <w:rsid w:val="004B150C"/>
    <w:rsid w:val="004B15B9"/>
    <w:rsid w:val="004B1722"/>
    <w:rsid w:val="004B183F"/>
    <w:rsid w:val="004B1A67"/>
    <w:rsid w:val="004B1A73"/>
    <w:rsid w:val="004B1AC4"/>
    <w:rsid w:val="004B1B49"/>
    <w:rsid w:val="004B1D4C"/>
    <w:rsid w:val="004B1DC1"/>
    <w:rsid w:val="004B1F49"/>
    <w:rsid w:val="004B21D2"/>
    <w:rsid w:val="004B2351"/>
    <w:rsid w:val="004B2376"/>
    <w:rsid w:val="004B24E3"/>
    <w:rsid w:val="004B25E5"/>
    <w:rsid w:val="004B28A2"/>
    <w:rsid w:val="004B2967"/>
    <w:rsid w:val="004B2B1E"/>
    <w:rsid w:val="004B2B5F"/>
    <w:rsid w:val="004B2BF9"/>
    <w:rsid w:val="004B2EC4"/>
    <w:rsid w:val="004B3145"/>
    <w:rsid w:val="004B322A"/>
    <w:rsid w:val="004B33DA"/>
    <w:rsid w:val="004B35B7"/>
    <w:rsid w:val="004B35C2"/>
    <w:rsid w:val="004B37DD"/>
    <w:rsid w:val="004B39A6"/>
    <w:rsid w:val="004B3AA0"/>
    <w:rsid w:val="004B3AB2"/>
    <w:rsid w:val="004B3C70"/>
    <w:rsid w:val="004B4071"/>
    <w:rsid w:val="004B41D6"/>
    <w:rsid w:val="004B4243"/>
    <w:rsid w:val="004B438A"/>
    <w:rsid w:val="004B442D"/>
    <w:rsid w:val="004B44DC"/>
    <w:rsid w:val="004B4533"/>
    <w:rsid w:val="004B4545"/>
    <w:rsid w:val="004B45AB"/>
    <w:rsid w:val="004B4921"/>
    <w:rsid w:val="004B4AEB"/>
    <w:rsid w:val="004B4B33"/>
    <w:rsid w:val="004B4C5A"/>
    <w:rsid w:val="004B4C68"/>
    <w:rsid w:val="004B4DC5"/>
    <w:rsid w:val="004B4E5E"/>
    <w:rsid w:val="004B4F35"/>
    <w:rsid w:val="004B4F89"/>
    <w:rsid w:val="004B5181"/>
    <w:rsid w:val="004B51A8"/>
    <w:rsid w:val="004B535F"/>
    <w:rsid w:val="004B53A3"/>
    <w:rsid w:val="004B54A7"/>
    <w:rsid w:val="004B5656"/>
    <w:rsid w:val="004B5677"/>
    <w:rsid w:val="004B58DD"/>
    <w:rsid w:val="004B5A34"/>
    <w:rsid w:val="004B5A7C"/>
    <w:rsid w:val="004B5AB2"/>
    <w:rsid w:val="004B5BBA"/>
    <w:rsid w:val="004B5D22"/>
    <w:rsid w:val="004B5DBD"/>
    <w:rsid w:val="004B60EF"/>
    <w:rsid w:val="004B6107"/>
    <w:rsid w:val="004B6278"/>
    <w:rsid w:val="004B6594"/>
    <w:rsid w:val="004B6749"/>
    <w:rsid w:val="004B6764"/>
    <w:rsid w:val="004B676C"/>
    <w:rsid w:val="004B6900"/>
    <w:rsid w:val="004B694E"/>
    <w:rsid w:val="004B6A6C"/>
    <w:rsid w:val="004B6B35"/>
    <w:rsid w:val="004B6BB8"/>
    <w:rsid w:val="004B6F0D"/>
    <w:rsid w:val="004B7015"/>
    <w:rsid w:val="004B7018"/>
    <w:rsid w:val="004B704B"/>
    <w:rsid w:val="004B7084"/>
    <w:rsid w:val="004B7127"/>
    <w:rsid w:val="004B72C2"/>
    <w:rsid w:val="004B73EB"/>
    <w:rsid w:val="004B7470"/>
    <w:rsid w:val="004B7A20"/>
    <w:rsid w:val="004B7BD5"/>
    <w:rsid w:val="004B7ED5"/>
    <w:rsid w:val="004C0034"/>
    <w:rsid w:val="004C01D3"/>
    <w:rsid w:val="004C03B8"/>
    <w:rsid w:val="004C03BE"/>
    <w:rsid w:val="004C03EB"/>
    <w:rsid w:val="004C0417"/>
    <w:rsid w:val="004C04C9"/>
    <w:rsid w:val="004C0817"/>
    <w:rsid w:val="004C0ABF"/>
    <w:rsid w:val="004C0E70"/>
    <w:rsid w:val="004C0F6D"/>
    <w:rsid w:val="004C0FDE"/>
    <w:rsid w:val="004C11AE"/>
    <w:rsid w:val="004C14C1"/>
    <w:rsid w:val="004C15CE"/>
    <w:rsid w:val="004C1691"/>
    <w:rsid w:val="004C16DA"/>
    <w:rsid w:val="004C16EF"/>
    <w:rsid w:val="004C1881"/>
    <w:rsid w:val="004C18AA"/>
    <w:rsid w:val="004C191C"/>
    <w:rsid w:val="004C194A"/>
    <w:rsid w:val="004C1950"/>
    <w:rsid w:val="004C1AEB"/>
    <w:rsid w:val="004C1B57"/>
    <w:rsid w:val="004C1BC3"/>
    <w:rsid w:val="004C1C09"/>
    <w:rsid w:val="004C1EAD"/>
    <w:rsid w:val="004C2530"/>
    <w:rsid w:val="004C2696"/>
    <w:rsid w:val="004C2956"/>
    <w:rsid w:val="004C2979"/>
    <w:rsid w:val="004C2A0E"/>
    <w:rsid w:val="004C2AB9"/>
    <w:rsid w:val="004C2BA2"/>
    <w:rsid w:val="004C2BEC"/>
    <w:rsid w:val="004C2F68"/>
    <w:rsid w:val="004C304A"/>
    <w:rsid w:val="004C315A"/>
    <w:rsid w:val="004C3173"/>
    <w:rsid w:val="004C319F"/>
    <w:rsid w:val="004C330A"/>
    <w:rsid w:val="004C33BE"/>
    <w:rsid w:val="004C342C"/>
    <w:rsid w:val="004C3671"/>
    <w:rsid w:val="004C36F7"/>
    <w:rsid w:val="004C3828"/>
    <w:rsid w:val="004C39BB"/>
    <w:rsid w:val="004C39E3"/>
    <w:rsid w:val="004C3A19"/>
    <w:rsid w:val="004C3A43"/>
    <w:rsid w:val="004C3A5C"/>
    <w:rsid w:val="004C3AB2"/>
    <w:rsid w:val="004C3AFD"/>
    <w:rsid w:val="004C3B59"/>
    <w:rsid w:val="004C3D4E"/>
    <w:rsid w:val="004C3E06"/>
    <w:rsid w:val="004C4039"/>
    <w:rsid w:val="004C40F4"/>
    <w:rsid w:val="004C4365"/>
    <w:rsid w:val="004C4407"/>
    <w:rsid w:val="004C4420"/>
    <w:rsid w:val="004C4509"/>
    <w:rsid w:val="004C4570"/>
    <w:rsid w:val="004C47C7"/>
    <w:rsid w:val="004C4894"/>
    <w:rsid w:val="004C4A2A"/>
    <w:rsid w:val="004C4B04"/>
    <w:rsid w:val="004C4CA6"/>
    <w:rsid w:val="004C4D5E"/>
    <w:rsid w:val="004C4E9A"/>
    <w:rsid w:val="004C5183"/>
    <w:rsid w:val="004C51C1"/>
    <w:rsid w:val="004C56AB"/>
    <w:rsid w:val="004C56CA"/>
    <w:rsid w:val="004C57C6"/>
    <w:rsid w:val="004C5878"/>
    <w:rsid w:val="004C5889"/>
    <w:rsid w:val="004C5A23"/>
    <w:rsid w:val="004C5BA6"/>
    <w:rsid w:val="004C5C65"/>
    <w:rsid w:val="004C5CFC"/>
    <w:rsid w:val="004C5DF1"/>
    <w:rsid w:val="004C5F2F"/>
    <w:rsid w:val="004C5F99"/>
    <w:rsid w:val="004C5FE0"/>
    <w:rsid w:val="004C6123"/>
    <w:rsid w:val="004C61C2"/>
    <w:rsid w:val="004C6570"/>
    <w:rsid w:val="004C6583"/>
    <w:rsid w:val="004C662A"/>
    <w:rsid w:val="004C6791"/>
    <w:rsid w:val="004C6A06"/>
    <w:rsid w:val="004C6A13"/>
    <w:rsid w:val="004C6C24"/>
    <w:rsid w:val="004C6E02"/>
    <w:rsid w:val="004C6EB5"/>
    <w:rsid w:val="004C6FE9"/>
    <w:rsid w:val="004C7027"/>
    <w:rsid w:val="004C706A"/>
    <w:rsid w:val="004C70CC"/>
    <w:rsid w:val="004C7182"/>
    <w:rsid w:val="004C740B"/>
    <w:rsid w:val="004C742E"/>
    <w:rsid w:val="004C75A0"/>
    <w:rsid w:val="004C761F"/>
    <w:rsid w:val="004C79F5"/>
    <w:rsid w:val="004C7BE0"/>
    <w:rsid w:val="004C7D27"/>
    <w:rsid w:val="004C7DAF"/>
    <w:rsid w:val="004C7E74"/>
    <w:rsid w:val="004C7EAF"/>
    <w:rsid w:val="004C7F36"/>
    <w:rsid w:val="004C7F95"/>
    <w:rsid w:val="004D001E"/>
    <w:rsid w:val="004D0218"/>
    <w:rsid w:val="004D029C"/>
    <w:rsid w:val="004D02EC"/>
    <w:rsid w:val="004D044F"/>
    <w:rsid w:val="004D048B"/>
    <w:rsid w:val="004D0494"/>
    <w:rsid w:val="004D0596"/>
    <w:rsid w:val="004D069C"/>
    <w:rsid w:val="004D07AE"/>
    <w:rsid w:val="004D083E"/>
    <w:rsid w:val="004D0871"/>
    <w:rsid w:val="004D09D1"/>
    <w:rsid w:val="004D0AB8"/>
    <w:rsid w:val="004D0B07"/>
    <w:rsid w:val="004D0B94"/>
    <w:rsid w:val="004D0E47"/>
    <w:rsid w:val="004D0EC1"/>
    <w:rsid w:val="004D0F8E"/>
    <w:rsid w:val="004D106B"/>
    <w:rsid w:val="004D10EC"/>
    <w:rsid w:val="004D1312"/>
    <w:rsid w:val="004D13FB"/>
    <w:rsid w:val="004D1400"/>
    <w:rsid w:val="004D1529"/>
    <w:rsid w:val="004D167F"/>
    <w:rsid w:val="004D1749"/>
    <w:rsid w:val="004D17D2"/>
    <w:rsid w:val="004D1993"/>
    <w:rsid w:val="004D1AF7"/>
    <w:rsid w:val="004D1CE9"/>
    <w:rsid w:val="004D2051"/>
    <w:rsid w:val="004D22E4"/>
    <w:rsid w:val="004D256E"/>
    <w:rsid w:val="004D2614"/>
    <w:rsid w:val="004D27D0"/>
    <w:rsid w:val="004D2AFA"/>
    <w:rsid w:val="004D2BB0"/>
    <w:rsid w:val="004D2CC5"/>
    <w:rsid w:val="004D2D40"/>
    <w:rsid w:val="004D2F55"/>
    <w:rsid w:val="004D2FFF"/>
    <w:rsid w:val="004D3236"/>
    <w:rsid w:val="004D335C"/>
    <w:rsid w:val="004D336B"/>
    <w:rsid w:val="004D33C6"/>
    <w:rsid w:val="004D34FA"/>
    <w:rsid w:val="004D3880"/>
    <w:rsid w:val="004D38EA"/>
    <w:rsid w:val="004D3A79"/>
    <w:rsid w:val="004D3AF5"/>
    <w:rsid w:val="004D3B08"/>
    <w:rsid w:val="004D3E1B"/>
    <w:rsid w:val="004D3E5D"/>
    <w:rsid w:val="004D4137"/>
    <w:rsid w:val="004D419F"/>
    <w:rsid w:val="004D4246"/>
    <w:rsid w:val="004D46BA"/>
    <w:rsid w:val="004D4723"/>
    <w:rsid w:val="004D4794"/>
    <w:rsid w:val="004D49C0"/>
    <w:rsid w:val="004D4D33"/>
    <w:rsid w:val="004D4F2A"/>
    <w:rsid w:val="004D4F84"/>
    <w:rsid w:val="004D4FD6"/>
    <w:rsid w:val="004D5061"/>
    <w:rsid w:val="004D50AF"/>
    <w:rsid w:val="004D51FC"/>
    <w:rsid w:val="004D534B"/>
    <w:rsid w:val="004D54D1"/>
    <w:rsid w:val="004D54D8"/>
    <w:rsid w:val="004D59C5"/>
    <w:rsid w:val="004D59DE"/>
    <w:rsid w:val="004D5AF3"/>
    <w:rsid w:val="004D5B4F"/>
    <w:rsid w:val="004D5B8D"/>
    <w:rsid w:val="004D5D65"/>
    <w:rsid w:val="004D5E8B"/>
    <w:rsid w:val="004D5EB0"/>
    <w:rsid w:val="004D5F0D"/>
    <w:rsid w:val="004D5FE9"/>
    <w:rsid w:val="004D5FF4"/>
    <w:rsid w:val="004D605F"/>
    <w:rsid w:val="004D6121"/>
    <w:rsid w:val="004D636D"/>
    <w:rsid w:val="004D6937"/>
    <w:rsid w:val="004D69AD"/>
    <w:rsid w:val="004D6B66"/>
    <w:rsid w:val="004D6EE0"/>
    <w:rsid w:val="004D6F0D"/>
    <w:rsid w:val="004D6FE1"/>
    <w:rsid w:val="004D700C"/>
    <w:rsid w:val="004D72CD"/>
    <w:rsid w:val="004D7333"/>
    <w:rsid w:val="004D748B"/>
    <w:rsid w:val="004D74F8"/>
    <w:rsid w:val="004D7557"/>
    <w:rsid w:val="004D76CC"/>
    <w:rsid w:val="004D7711"/>
    <w:rsid w:val="004D7796"/>
    <w:rsid w:val="004D7CB4"/>
    <w:rsid w:val="004D7D2C"/>
    <w:rsid w:val="004D7E74"/>
    <w:rsid w:val="004D7FB8"/>
    <w:rsid w:val="004E007C"/>
    <w:rsid w:val="004E007E"/>
    <w:rsid w:val="004E0415"/>
    <w:rsid w:val="004E0466"/>
    <w:rsid w:val="004E05A9"/>
    <w:rsid w:val="004E0A25"/>
    <w:rsid w:val="004E0A63"/>
    <w:rsid w:val="004E0B59"/>
    <w:rsid w:val="004E0BA7"/>
    <w:rsid w:val="004E0C88"/>
    <w:rsid w:val="004E0DE7"/>
    <w:rsid w:val="004E0E7F"/>
    <w:rsid w:val="004E1183"/>
    <w:rsid w:val="004E1194"/>
    <w:rsid w:val="004E1228"/>
    <w:rsid w:val="004E1394"/>
    <w:rsid w:val="004E142F"/>
    <w:rsid w:val="004E15C2"/>
    <w:rsid w:val="004E15D4"/>
    <w:rsid w:val="004E15FF"/>
    <w:rsid w:val="004E1683"/>
    <w:rsid w:val="004E17EE"/>
    <w:rsid w:val="004E18E4"/>
    <w:rsid w:val="004E1A58"/>
    <w:rsid w:val="004E1BDF"/>
    <w:rsid w:val="004E1C1A"/>
    <w:rsid w:val="004E1E57"/>
    <w:rsid w:val="004E2014"/>
    <w:rsid w:val="004E24E0"/>
    <w:rsid w:val="004E2572"/>
    <w:rsid w:val="004E25F1"/>
    <w:rsid w:val="004E2611"/>
    <w:rsid w:val="004E2640"/>
    <w:rsid w:val="004E2763"/>
    <w:rsid w:val="004E2785"/>
    <w:rsid w:val="004E2913"/>
    <w:rsid w:val="004E296C"/>
    <w:rsid w:val="004E2B58"/>
    <w:rsid w:val="004E2BF7"/>
    <w:rsid w:val="004E2CD5"/>
    <w:rsid w:val="004E2CE7"/>
    <w:rsid w:val="004E3261"/>
    <w:rsid w:val="004E328F"/>
    <w:rsid w:val="004E3430"/>
    <w:rsid w:val="004E3506"/>
    <w:rsid w:val="004E36D8"/>
    <w:rsid w:val="004E3922"/>
    <w:rsid w:val="004E3B19"/>
    <w:rsid w:val="004E3B9C"/>
    <w:rsid w:val="004E3EA0"/>
    <w:rsid w:val="004E3F19"/>
    <w:rsid w:val="004E41B0"/>
    <w:rsid w:val="004E4395"/>
    <w:rsid w:val="004E445E"/>
    <w:rsid w:val="004E459D"/>
    <w:rsid w:val="004E4645"/>
    <w:rsid w:val="004E47E1"/>
    <w:rsid w:val="004E49B5"/>
    <w:rsid w:val="004E4A3B"/>
    <w:rsid w:val="004E4AB3"/>
    <w:rsid w:val="004E4B2C"/>
    <w:rsid w:val="004E4C5F"/>
    <w:rsid w:val="004E4CB4"/>
    <w:rsid w:val="004E4CC9"/>
    <w:rsid w:val="004E527B"/>
    <w:rsid w:val="004E5419"/>
    <w:rsid w:val="004E5763"/>
    <w:rsid w:val="004E5865"/>
    <w:rsid w:val="004E5BC2"/>
    <w:rsid w:val="004E5DE3"/>
    <w:rsid w:val="004E5F4F"/>
    <w:rsid w:val="004E5FD3"/>
    <w:rsid w:val="004E60A8"/>
    <w:rsid w:val="004E60CF"/>
    <w:rsid w:val="004E6285"/>
    <w:rsid w:val="004E6368"/>
    <w:rsid w:val="004E656B"/>
    <w:rsid w:val="004E65F6"/>
    <w:rsid w:val="004E6706"/>
    <w:rsid w:val="004E6808"/>
    <w:rsid w:val="004E6B2D"/>
    <w:rsid w:val="004E6B9F"/>
    <w:rsid w:val="004E6F5A"/>
    <w:rsid w:val="004E7093"/>
    <w:rsid w:val="004E742F"/>
    <w:rsid w:val="004E751E"/>
    <w:rsid w:val="004E76AC"/>
    <w:rsid w:val="004E7737"/>
    <w:rsid w:val="004E7784"/>
    <w:rsid w:val="004E79E3"/>
    <w:rsid w:val="004E79E6"/>
    <w:rsid w:val="004E7A10"/>
    <w:rsid w:val="004E7ACD"/>
    <w:rsid w:val="004E7AEB"/>
    <w:rsid w:val="004E7DED"/>
    <w:rsid w:val="004E7E6F"/>
    <w:rsid w:val="004F02F9"/>
    <w:rsid w:val="004F0707"/>
    <w:rsid w:val="004F07BF"/>
    <w:rsid w:val="004F0851"/>
    <w:rsid w:val="004F0B95"/>
    <w:rsid w:val="004F0BFD"/>
    <w:rsid w:val="004F0C01"/>
    <w:rsid w:val="004F0C05"/>
    <w:rsid w:val="004F0C19"/>
    <w:rsid w:val="004F0D29"/>
    <w:rsid w:val="004F0DE9"/>
    <w:rsid w:val="004F0F1C"/>
    <w:rsid w:val="004F0F58"/>
    <w:rsid w:val="004F1008"/>
    <w:rsid w:val="004F122B"/>
    <w:rsid w:val="004F136F"/>
    <w:rsid w:val="004F13F3"/>
    <w:rsid w:val="004F171F"/>
    <w:rsid w:val="004F1A98"/>
    <w:rsid w:val="004F1ACE"/>
    <w:rsid w:val="004F1AEE"/>
    <w:rsid w:val="004F21B3"/>
    <w:rsid w:val="004F224C"/>
    <w:rsid w:val="004F22A6"/>
    <w:rsid w:val="004F24EC"/>
    <w:rsid w:val="004F269D"/>
    <w:rsid w:val="004F2768"/>
    <w:rsid w:val="004F288F"/>
    <w:rsid w:val="004F28EA"/>
    <w:rsid w:val="004F2978"/>
    <w:rsid w:val="004F2C59"/>
    <w:rsid w:val="004F2C5D"/>
    <w:rsid w:val="004F2C9D"/>
    <w:rsid w:val="004F2CE8"/>
    <w:rsid w:val="004F3043"/>
    <w:rsid w:val="004F3417"/>
    <w:rsid w:val="004F3546"/>
    <w:rsid w:val="004F3717"/>
    <w:rsid w:val="004F3957"/>
    <w:rsid w:val="004F3C18"/>
    <w:rsid w:val="004F3CF1"/>
    <w:rsid w:val="004F3E59"/>
    <w:rsid w:val="004F3F66"/>
    <w:rsid w:val="004F433E"/>
    <w:rsid w:val="004F4361"/>
    <w:rsid w:val="004F458B"/>
    <w:rsid w:val="004F46BD"/>
    <w:rsid w:val="004F47A7"/>
    <w:rsid w:val="004F48B6"/>
    <w:rsid w:val="004F4B05"/>
    <w:rsid w:val="004F4D3C"/>
    <w:rsid w:val="004F4F3D"/>
    <w:rsid w:val="004F503C"/>
    <w:rsid w:val="004F5087"/>
    <w:rsid w:val="004F5327"/>
    <w:rsid w:val="004F53CA"/>
    <w:rsid w:val="004F56D8"/>
    <w:rsid w:val="004F5923"/>
    <w:rsid w:val="004F5C9F"/>
    <w:rsid w:val="004F5D8B"/>
    <w:rsid w:val="004F5DC3"/>
    <w:rsid w:val="004F5F4F"/>
    <w:rsid w:val="004F5FF8"/>
    <w:rsid w:val="004F62A0"/>
    <w:rsid w:val="004F6674"/>
    <w:rsid w:val="004F67E5"/>
    <w:rsid w:val="004F6965"/>
    <w:rsid w:val="004F6B30"/>
    <w:rsid w:val="004F6C34"/>
    <w:rsid w:val="004F6C71"/>
    <w:rsid w:val="004F6CDD"/>
    <w:rsid w:val="004F6CE8"/>
    <w:rsid w:val="004F6DEA"/>
    <w:rsid w:val="004F6E69"/>
    <w:rsid w:val="004F6ED7"/>
    <w:rsid w:val="004F6FAF"/>
    <w:rsid w:val="004F6FFA"/>
    <w:rsid w:val="004F7302"/>
    <w:rsid w:val="004F7346"/>
    <w:rsid w:val="004F755C"/>
    <w:rsid w:val="004F77CA"/>
    <w:rsid w:val="004F7AB8"/>
    <w:rsid w:val="004F7C6C"/>
    <w:rsid w:val="004F7D44"/>
    <w:rsid w:val="004F7E02"/>
    <w:rsid w:val="00500049"/>
    <w:rsid w:val="0050007E"/>
    <w:rsid w:val="00500174"/>
    <w:rsid w:val="00500199"/>
    <w:rsid w:val="00500263"/>
    <w:rsid w:val="005002C8"/>
    <w:rsid w:val="005003C5"/>
    <w:rsid w:val="00500402"/>
    <w:rsid w:val="00500AA3"/>
    <w:rsid w:val="00500AAB"/>
    <w:rsid w:val="00500C19"/>
    <w:rsid w:val="00500E9F"/>
    <w:rsid w:val="00500EE7"/>
    <w:rsid w:val="00500FF6"/>
    <w:rsid w:val="005010EA"/>
    <w:rsid w:val="005011F4"/>
    <w:rsid w:val="00501270"/>
    <w:rsid w:val="005012EE"/>
    <w:rsid w:val="00501364"/>
    <w:rsid w:val="00501379"/>
    <w:rsid w:val="005014DA"/>
    <w:rsid w:val="0050160C"/>
    <w:rsid w:val="005017C2"/>
    <w:rsid w:val="00501B13"/>
    <w:rsid w:val="00501BA3"/>
    <w:rsid w:val="00501C52"/>
    <w:rsid w:val="00501C56"/>
    <w:rsid w:val="00502012"/>
    <w:rsid w:val="0050212A"/>
    <w:rsid w:val="005021F1"/>
    <w:rsid w:val="005026C9"/>
    <w:rsid w:val="00502C07"/>
    <w:rsid w:val="00502CFD"/>
    <w:rsid w:val="00502EA7"/>
    <w:rsid w:val="00502ED0"/>
    <w:rsid w:val="00502F0C"/>
    <w:rsid w:val="00502F40"/>
    <w:rsid w:val="00502F43"/>
    <w:rsid w:val="00502F6C"/>
    <w:rsid w:val="0050352D"/>
    <w:rsid w:val="00503658"/>
    <w:rsid w:val="00503705"/>
    <w:rsid w:val="00503990"/>
    <w:rsid w:val="00503BA6"/>
    <w:rsid w:val="00503CF8"/>
    <w:rsid w:val="00503D99"/>
    <w:rsid w:val="00503E22"/>
    <w:rsid w:val="00503FBB"/>
    <w:rsid w:val="005040EE"/>
    <w:rsid w:val="00504197"/>
    <w:rsid w:val="0050438F"/>
    <w:rsid w:val="005043EF"/>
    <w:rsid w:val="00504451"/>
    <w:rsid w:val="0050459C"/>
    <w:rsid w:val="005046AF"/>
    <w:rsid w:val="00504DF9"/>
    <w:rsid w:val="0050502C"/>
    <w:rsid w:val="00505433"/>
    <w:rsid w:val="005056CC"/>
    <w:rsid w:val="005057AC"/>
    <w:rsid w:val="005057F4"/>
    <w:rsid w:val="005058AF"/>
    <w:rsid w:val="005058E6"/>
    <w:rsid w:val="005059FF"/>
    <w:rsid w:val="00505AB8"/>
    <w:rsid w:val="00505C38"/>
    <w:rsid w:val="00505C9A"/>
    <w:rsid w:val="00505D22"/>
    <w:rsid w:val="00505DA7"/>
    <w:rsid w:val="00505E4A"/>
    <w:rsid w:val="005062F5"/>
    <w:rsid w:val="00506311"/>
    <w:rsid w:val="00506627"/>
    <w:rsid w:val="00506671"/>
    <w:rsid w:val="005068EA"/>
    <w:rsid w:val="00506D9D"/>
    <w:rsid w:val="00506E8B"/>
    <w:rsid w:val="0050704C"/>
    <w:rsid w:val="00507151"/>
    <w:rsid w:val="00507363"/>
    <w:rsid w:val="005074BB"/>
    <w:rsid w:val="005075BC"/>
    <w:rsid w:val="005077E1"/>
    <w:rsid w:val="00507DFB"/>
    <w:rsid w:val="00510273"/>
    <w:rsid w:val="0051038F"/>
    <w:rsid w:val="00510776"/>
    <w:rsid w:val="00510C56"/>
    <w:rsid w:val="00510E76"/>
    <w:rsid w:val="00510E8A"/>
    <w:rsid w:val="00510F98"/>
    <w:rsid w:val="005110F8"/>
    <w:rsid w:val="00511124"/>
    <w:rsid w:val="005111BB"/>
    <w:rsid w:val="00511217"/>
    <w:rsid w:val="0051146D"/>
    <w:rsid w:val="005115FB"/>
    <w:rsid w:val="005116A1"/>
    <w:rsid w:val="00511820"/>
    <w:rsid w:val="005119F8"/>
    <w:rsid w:val="00511D4F"/>
    <w:rsid w:val="00511E5E"/>
    <w:rsid w:val="00511F30"/>
    <w:rsid w:val="00512082"/>
    <w:rsid w:val="00512104"/>
    <w:rsid w:val="00512278"/>
    <w:rsid w:val="005123E7"/>
    <w:rsid w:val="0051245D"/>
    <w:rsid w:val="00512512"/>
    <w:rsid w:val="00512556"/>
    <w:rsid w:val="0051255B"/>
    <w:rsid w:val="0051257D"/>
    <w:rsid w:val="00512622"/>
    <w:rsid w:val="005129A1"/>
    <w:rsid w:val="005129CB"/>
    <w:rsid w:val="00512AD0"/>
    <w:rsid w:val="00512BE1"/>
    <w:rsid w:val="00512D06"/>
    <w:rsid w:val="00512DC0"/>
    <w:rsid w:val="00512E35"/>
    <w:rsid w:val="00512E43"/>
    <w:rsid w:val="00512FF2"/>
    <w:rsid w:val="005130F6"/>
    <w:rsid w:val="00513164"/>
    <w:rsid w:val="0051323C"/>
    <w:rsid w:val="00513496"/>
    <w:rsid w:val="0051350E"/>
    <w:rsid w:val="00513925"/>
    <w:rsid w:val="00513B41"/>
    <w:rsid w:val="00513BF3"/>
    <w:rsid w:val="00513D22"/>
    <w:rsid w:val="00513D82"/>
    <w:rsid w:val="00513E9A"/>
    <w:rsid w:val="00513EFC"/>
    <w:rsid w:val="00513F75"/>
    <w:rsid w:val="00514015"/>
    <w:rsid w:val="00514837"/>
    <w:rsid w:val="005148E3"/>
    <w:rsid w:val="005149BB"/>
    <w:rsid w:val="005149D8"/>
    <w:rsid w:val="00514AA8"/>
    <w:rsid w:val="00514AE3"/>
    <w:rsid w:val="00514C95"/>
    <w:rsid w:val="00514D10"/>
    <w:rsid w:val="00514E37"/>
    <w:rsid w:val="0051509C"/>
    <w:rsid w:val="00515103"/>
    <w:rsid w:val="00515166"/>
    <w:rsid w:val="00515320"/>
    <w:rsid w:val="00515462"/>
    <w:rsid w:val="005154F7"/>
    <w:rsid w:val="00515688"/>
    <w:rsid w:val="005156AE"/>
    <w:rsid w:val="005156B7"/>
    <w:rsid w:val="005157F1"/>
    <w:rsid w:val="00515885"/>
    <w:rsid w:val="005158C8"/>
    <w:rsid w:val="00515D6B"/>
    <w:rsid w:val="00515FC8"/>
    <w:rsid w:val="0051612E"/>
    <w:rsid w:val="005163F7"/>
    <w:rsid w:val="00516694"/>
    <w:rsid w:val="00516967"/>
    <w:rsid w:val="00516C5A"/>
    <w:rsid w:val="00516CB3"/>
    <w:rsid w:val="00516D3C"/>
    <w:rsid w:val="00516DCA"/>
    <w:rsid w:val="00516F2E"/>
    <w:rsid w:val="00517072"/>
    <w:rsid w:val="005174EE"/>
    <w:rsid w:val="005174F5"/>
    <w:rsid w:val="0051772F"/>
    <w:rsid w:val="0051777F"/>
    <w:rsid w:val="00517879"/>
    <w:rsid w:val="0051788E"/>
    <w:rsid w:val="00517943"/>
    <w:rsid w:val="00517CFF"/>
    <w:rsid w:val="00517D01"/>
    <w:rsid w:val="00517F1E"/>
    <w:rsid w:val="00517F33"/>
    <w:rsid w:val="00520025"/>
    <w:rsid w:val="005200BA"/>
    <w:rsid w:val="005200BF"/>
    <w:rsid w:val="005201BF"/>
    <w:rsid w:val="00520674"/>
    <w:rsid w:val="005206D7"/>
    <w:rsid w:val="005209AC"/>
    <w:rsid w:val="00520C65"/>
    <w:rsid w:val="00521022"/>
    <w:rsid w:val="005212DE"/>
    <w:rsid w:val="00521361"/>
    <w:rsid w:val="00521557"/>
    <w:rsid w:val="005216EB"/>
    <w:rsid w:val="00521753"/>
    <w:rsid w:val="005217CC"/>
    <w:rsid w:val="00521A07"/>
    <w:rsid w:val="0052211C"/>
    <w:rsid w:val="005221C2"/>
    <w:rsid w:val="00522254"/>
    <w:rsid w:val="00522453"/>
    <w:rsid w:val="0052245E"/>
    <w:rsid w:val="0052255C"/>
    <w:rsid w:val="005226A2"/>
    <w:rsid w:val="005227D5"/>
    <w:rsid w:val="00522A7B"/>
    <w:rsid w:val="00522A9D"/>
    <w:rsid w:val="00522DF9"/>
    <w:rsid w:val="00522EF4"/>
    <w:rsid w:val="00522F96"/>
    <w:rsid w:val="00522FE4"/>
    <w:rsid w:val="00523052"/>
    <w:rsid w:val="005234C4"/>
    <w:rsid w:val="00523659"/>
    <w:rsid w:val="005236D5"/>
    <w:rsid w:val="0052396D"/>
    <w:rsid w:val="005239FA"/>
    <w:rsid w:val="00523A87"/>
    <w:rsid w:val="00523D28"/>
    <w:rsid w:val="00523EA3"/>
    <w:rsid w:val="00523F13"/>
    <w:rsid w:val="0052411A"/>
    <w:rsid w:val="00524170"/>
    <w:rsid w:val="005241E2"/>
    <w:rsid w:val="00524579"/>
    <w:rsid w:val="0052468A"/>
    <w:rsid w:val="00524731"/>
    <w:rsid w:val="0052492F"/>
    <w:rsid w:val="00524C0D"/>
    <w:rsid w:val="00524CF4"/>
    <w:rsid w:val="00524DBC"/>
    <w:rsid w:val="00524FBE"/>
    <w:rsid w:val="005251D3"/>
    <w:rsid w:val="0052528F"/>
    <w:rsid w:val="0052535C"/>
    <w:rsid w:val="005253F6"/>
    <w:rsid w:val="00525523"/>
    <w:rsid w:val="00525537"/>
    <w:rsid w:val="005256F2"/>
    <w:rsid w:val="0052579A"/>
    <w:rsid w:val="005258BE"/>
    <w:rsid w:val="00525950"/>
    <w:rsid w:val="00525B53"/>
    <w:rsid w:val="00525BB2"/>
    <w:rsid w:val="00525D70"/>
    <w:rsid w:val="00525EF6"/>
    <w:rsid w:val="00525F37"/>
    <w:rsid w:val="00525F7D"/>
    <w:rsid w:val="00525FAF"/>
    <w:rsid w:val="005261AB"/>
    <w:rsid w:val="00526212"/>
    <w:rsid w:val="005263B7"/>
    <w:rsid w:val="0052657D"/>
    <w:rsid w:val="00526837"/>
    <w:rsid w:val="005269FB"/>
    <w:rsid w:val="00526C84"/>
    <w:rsid w:val="00526D80"/>
    <w:rsid w:val="00526DC4"/>
    <w:rsid w:val="00526E2C"/>
    <w:rsid w:val="00527053"/>
    <w:rsid w:val="005270B3"/>
    <w:rsid w:val="005271BC"/>
    <w:rsid w:val="0052734E"/>
    <w:rsid w:val="00527457"/>
    <w:rsid w:val="005274C5"/>
    <w:rsid w:val="00527615"/>
    <w:rsid w:val="0052761D"/>
    <w:rsid w:val="005277FA"/>
    <w:rsid w:val="00527915"/>
    <w:rsid w:val="005279FE"/>
    <w:rsid w:val="00527B57"/>
    <w:rsid w:val="00527BC2"/>
    <w:rsid w:val="00527D54"/>
    <w:rsid w:val="00527D94"/>
    <w:rsid w:val="00527DE7"/>
    <w:rsid w:val="00527E39"/>
    <w:rsid w:val="00527E78"/>
    <w:rsid w:val="00527EA7"/>
    <w:rsid w:val="00527FB7"/>
    <w:rsid w:val="0053039D"/>
    <w:rsid w:val="005306C1"/>
    <w:rsid w:val="005306F0"/>
    <w:rsid w:val="0053096E"/>
    <w:rsid w:val="00530A27"/>
    <w:rsid w:val="00530AF8"/>
    <w:rsid w:val="00530C9B"/>
    <w:rsid w:val="00530E62"/>
    <w:rsid w:val="00530F4B"/>
    <w:rsid w:val="00531006"/>
    <w:rsid w:val="005311A4"/>
    <w:rsid w:val="0053164E"/>
    <w:rsid w:val="005317FD"/>
    <w:rsid w:val="00531937"/>
    <w:rsid w:val="0053194A"/>
    <w:rsid w:val="00531AEA"/>
    <w:rsid w:val="00531B7D"/>
    <w:rsid w:val="00531C9C"/>
    <w:rsid w:val="00532358"/>
    <w:rsid w:val="00532391"/>
    <w:rsid w:val="005323CC"/>
    <w:rsid w:val="005324CC"/>
    <w:rsid w:val="005328EA"/>
    <w:rsid w:val="00532A23"/>
    <w:rsid w:val="00532CC2"/>
    <w:rsid w:val="00532FDC"/>
    <w:rsid w:val="0053307E"/>
    <w:rsid w:val="00533221"/>
    <w:rsid w:val="0053362A"/>
    <w:rsid w:val="00533684"/>
    <w:rsid w:val="00533805"/>
    <w:rsid w:val="0053384B"/>
    <w:rsid w:val="00533913"/>
    <w:rsid w:val="00533CA4"/>
    <w:rsid w:val="00533D7A"/>
    <w:rsid w:val="00533E44"/>
    <w:rsid w:val="00533FFA"/>
    <w:rsid w:val="0053412D"/>
    <w:rsid w:val="00534197"/>
    <w:rsid w:val="0053421E"/>
    <w:rsid w:val="00534335"/>
    <w:rsid w:val="005343AD"/>
    <w:rsid w:val="005343F8"/>
    <w:rsid w:val="00534D29"/>
    <w:rsid w:val="00534EA4"/>
    <w:rsid w:val="00534F04"/>
    <w:rsid w:val="00534F83"/>
    <w:rsid w:val="005350BF"/>
    <w:rsid w:val="00535254"/>
    <w:rsid w:val="005354F9"/>
    <w:rsid w:val="00535597"/>
    <w:rsid w:val="0053563F"/>
    <w:rsid w:val="005356B8"/>
    <w:rsid w:val="005356E4"/>
    <w:rsid w:val="00535B14"/>
    <w:rsid w:val="00535E55"/>
    <w:rsid w:val="00536013"/>
    <w:rsid w:val="005361EE"/>
    <w:rsid w:val="00536349"/>
    <w:rsid w:val="0053658D"/>
    <w:rsid w:val="005368B7"/>
    <w:rsid w:val="00536A2D"/>
    <w:rsid w:val="00536B47"/>
    <w:rsid w:val="00536B7E"/>
    <w:rsid w:val="00536BAF"/>
    <w:rsid w:val="00536E17"/>
    <w:rsid w:val="005373A9"/>
    <w:rsid w:val="0053745E"/>
    <w:rsid w:val="005377B9"/>
    <w:rsid w:val="0053780E"/>
    <w:rsid w:val="00537AA9"/>
    <w:rsid w:val="00537D18"/>
    <w:rsid w:val="00537E1D"/>
    <w:rsid w:val="005400E4"/>
    <w:rsid w:val="0054023E"/>
    <w:rsid w:val="0054031F"/>
    <w:rsid w:val="00540521"/>
    <w:rsid w:val="0054052C"/>
    <w:rsid w:val="00540635"/>
    <w:rsid w:val="005406CD"/>
    <w:rsid w:val="00540729"/>
    <w:rsid w:val="0054072A"/>
    <w:rsid w:val="005407B1"/>
    <w:rsid w:val="0054092A"/>
    <w:rsid w:val="00540CF4"/>
    <w:rsid w:val="00540EFD"/>
    <w:rsid w:val="0054107A"/>
    <w:rsid w:val="0054108F"/>
    <w:rsid w:val="00541184"/>
    <w:rsid w:val="005411A8"/>
    <w:rsid w:val="0054149F"/>
    <w:rsid w:val="00541592"/>
    <w:rsid w:val="00541722"/>
    <w:rsid w:val="00541732"/>
    <w:rsid w:val="00541C75"/>
    <w:rsid w:val="00542078"/>
    <w:rsid w:val="00542100"/>
    <w:rsid w:val="00542454"/>
    <w:rsid w:val="00542473"/>
    <w:rsid w:val="00542564"/>
    <w:rsid w:val="00542579"/>
    <w:rsid w:val="005426EB"/>
    <w:rsid w:val="0054275D"/>
    <w:rsid w:val="005428C0"/>
    <w:rsid w:val="00542C1E"/>
    <w:rsid w:val="00542D15"/>
    <w:rsid w:val="00542D73"/>
    <w:rsid w:val="00542E36"/>
    <w:rsid w:val="00542E47"/>
    <w:rsid w:val="00542FC1"/>
    <w:rsid w:val="00542FF5"/>
    <w:rsid w:val="005430DE"/>
    <w:rsid w:val="005430E6"/>
    <w:rsid w:val="00543252"/>
    <w:rsid w:val="005433C6"/>
    <w:rsid w:val="005433D6"/>
    <w:rsid w:val="005434FB"/>
    <w:rsid w:val="00543710"/>
    <w:rsid w:val="00543893"/>
    <w:rsid w:val="00543A16"/>
    <w:rsid w:val="00543A3C"/>
    <w:rsid w:val="00543A42"/>
    <w:rsid w:val="00543AE3"/>
    <w:rsid w:val="00543CED"/>
    <w:rsid w:val="00543D9E"/>
    <w:rsid w:val="00543DE9"/>
    <w:rsid w:val="00543E7C"/>
    <w:rsid w:val="005440F5"/>
    <w:rsid w:val="005442EE"/>
    <w:rsid w:val="0054435D"/>
    <w:rsid w:val="00544462"/>
    <w:rsid w:val="005444FF"/>
    <w:rsid w:val="005445A7"/>
    <w:rsid w:val="0054469C"/>
    <w:rsid w:val="005447EC"/>
    <w:rsid w:val="00544886"/>
    <w:rsid w:val="005448CC"/>
    <w:rsid w:val="00544A4D"/>
    <w:rsid w:val="00544A61"/>
    <w:rsid w:val="00544CD5"/>
    <w:rsid w:val="00544D60"/>
    <w:rsid w:val="00544DA7"/>
    <w:rsid w:val="00544E28"/>
    <w:rsid w:val="00544FD1"/>
    <w:rsid w:val="00545120"/>
    <w:rsid w:val="00545142"/>
    <w:rsid w:val="005452AC"/>
    <w:rsid w:val="0054542C"/>
    <w:rsid w:val="005455D2"/>
    <w:rsid w:val="0054579A"/>
    <w:rsid w:val="0054587D"/>
    <w:rsid w:val="00545966"/>
    <w:rsid w:val="00545968"/>
    <w:rsid w:val="00545AA6"/>
    <w:rsid w:val="00545AF4"/>
    <w:rsid w:val="00545D50"/>
    <w:rsid w:val="00545F1D"/>
    <w:rsid w:val="00545FAA"/>
    <w:rsid w:val="00546187"/>
    <w:rsid w:val="00546756"/>
    <w:rsid w:val="0054699B"/>
    <w:rsid w:val="00546DFD"/>
    <w:rsid w:val="00546E21"/>
    <w:rsid w:val="0054706E"/>
    <w:rsid w:val="0054716F"/>
    <w:rsid w:val="005471A7"/>
    <w:rsid w:val="0054753C"/>
    <w:rsid w:val="005475A0"/>
    <w:rsid w:val="005476BC"/>
    <w:rsid w:val="00547A99"/>
    <w:rsid w:val="00547AD4"/>
    <w:rsid w:val="00547D11"/>
    <w:rsid w:val="00547EF9"/>
    <w:rsid w:val="00550055"/>
    <w:rsid w:val="0055045F"/>
    <w:rsid w:val="005504BF"/>
    <w:rsid w:val="0055069A"/>
    <w:rsid w:val="005507AF"/>
    <w:rsid w:val="005509A8"/>
    <w:rsid w:val="00550C6D"/>
    <w:rsid w:val="00550EC2"/>
    <w:rsid w:val="00550EE0"/>
    <w:rsid w:val="00551046"/>
    <w:rsid w:val="005511DF"/>
    <w:rsid w:val="005513BC"/>
    <w:rsid w:val="0055143E"/>
    <w:rsid w:val="00551527"/>
    <w:rsid w:val="00551AFC"/>
    <w:rsid w:val="00551B3D"/>
    <w:rsid w:val="00551B6C"/>
    <w:rsid w:val="00551C43"/>
    <w:rsid w:val="00551E38"/>
    <w:rsid w:val="00551F86"/>
    <w:rsid w:val="00551FB9"/>
    <w:rsid w:val="005520FC"/>
    <w:rsid w:val="005522A4"/>
    <w:rsid w:val="0055252F"/>
    <w:rsid w:val="0055269A"/>
    <w:rsid w:val="00552743"/>
    <w:rsid w:val="00552890"/>
    <w:rsid w:val="005528AA"/>
    <w:rsid w:val="00552B5E"/>
    <w:rsid w:val="00552CE3"/>
    <w:rsid w:val="00552CEA"/>
    <w:rsid w:val="00552D3A"/>
    <w:rsid w:val="00552E22"/>
    <w:rsid w:val="00552F65"/>
    <w:rsid w:val="00553159"/>
    <w:rsid w:val="005531A9"/>
    <w:rsid w:val="005533D8"/>
    <w:rsid w:val="00553467"/>
    <w:rsid w:val="00553478"/>
    <w:rsid w:val="0055365A"/>
    <w:rsid w:val="0055391A"/>
    <w:rsid w:val="00553A89"/>
    <w:rsid w:val="00553A98"/>
    <w:rsid w:val="00553B53"/>
    <w:rsid w:val="00553B69"/>
    <w:rsid w:val="0055404A"/>
    <w:rsid w:val="00554144"/>
    <w:rsid w:val="0055417E"/>
    <w:rsid w:val="005541CA"/>
    <w:rsid w:val="00554258"/>
    <w:rsid w:val="0055441D"/>
    <w:rsid w:val="00554564"/>
    <w:rsid w:val="005546DC"/>
    <w:rsid w:val="0055493D"/>
    <w:rsid w:val="0055499B"/>
    <w:rsid w:val="005549AB"/>
    <w:rsid w:val="00554C27"/>
    <w:rsid w:val="00554CBE"/>
    <w:rsid w:val="00555099"/>
    <w:rsid w:val="005550DB"/>
    <w:rsid w:val="0055528C"/>
    <w:rsid w:val="005555A1"/>
    <w:rsid w:val="00555771"/>
    <w:rsid w:val="00555903"/>
    <w:rsid w:val="00555CCA"/>
    <w:rsid w:val="00555EB1"/>
    <w:rsid w:val="00555F6C"/>
    <w:rsid w:val="0055647C"/>
    <w:rsid w:val="005564CB"/>
    <w:rsid w:val="005564FE"/>
    <w:rsid w:val="005567A2"/>
    <w:rsid w:val="005568C9"/>
    <w:rsid w:val="005568E8"/>
    <w:rsid w:val="0055690C"/>
    <w:rsid w:val="005569A3"/>
    <w:rsid w:val="00556BD8"/>
    <w:rsid w:val="00556D26"/>
    <w:rsid w:val="00556D3E"/>
    <w:rsid w:val="00556D6A"/>
    <w:rsid w:val="005570D1"/>
    <w:rsid w:val="005574F8"/>
    <w:rsid w:val="00557A9F"/>
    <w:rsid w:val="00557AAE"/>
    <w:rsid w:val="00557DBB"/>
    <w:rsid w:val="00557EBA"/>
    <w:rsid w:val="00557F72"/>
    <w:rsid w:val="005601E4"/>
    <w:rsid w:val="0056025A"/>
    <w:rsid w:val="005602D5"/>
    <w:rsid w:val="005603E4"/>
    <w:rsid w:val="0056068B"/>
    <w:rsid w:val="00560701"/>
    <w:rsid w:val="00560760"/>
    <w:rsid w:val="0056079D"/>
    <w:rsid w:val="005608F1"/>
    <w:rsid w:val="00560BB9"/>
    <w:rsid w:val="00560C8E"/>
    <w:rsid w:val="00560CFA"/>
    <w:rsid w:val="00560E6C"/>
    <w:rsid w:val="00560EEA"/>
    <w:rsid w:val="00560FBC"/>
    <w:rsid w:val="0056105B"/>
    <w:rsid w:val="005611C0"/>
    <w:rsid w:val="005615A1"/>
    <w:rsid w:val="005615C9"/>
    <w:rsid w:val="00561620"/>
    <w:rsid w:val="00561628"/>
    <w:rsid w:val="00561850"/>
    <w:rsid w:val="00561970"/>
    <w:rsid w:val="00561B95"/>
    <w:rsid w:val="00561DD4"/>
    <w:rsid w:val="00561EA5"/>
    <w:rsid w:val="00561EC0"/>
    <w:rsid w:val="00561F3A"/>
    <w:rsid w:val="0056237C"/>
    <w:rsid w:val="0056238B"/>
    <w:rsid w:val="0056244B"/>
    <w:rsid w:val="0056279E"/>
    <w:rsid w:val="0056281A"/>
    <w:rsid w:val="00562869"/>
    <w:rsid w:val="00562994"/>
    <w:rsid w:val="00562A0C"/>
    <w:rsid w:val="00562B56"/>
    <w:rsid w:val="00562C3C"/>
    <w:rsid w:val="00562CDD"/>
    <w:rsid w:val="00562D24"/>
    <w:rsid w:val="00562E4A"/>
    <w:rsid w:val="00562EF8"/>
    <w:rsid w:val="0056306B"/>
    <w:rsid w:val="00563120"/>
    <w:rsid w:val="00563155"/>
    <w:rsid w:val="005634E8"/>
    <w:rsid w:val="005635BB"/>
    <w:rsid w:val="00563733"/>
    <w:rsid w:val="005637B2"/>
    <w:rsid w:val="00563876"/>
    <w:rsid w:val="00563B37"/>
    <w:rsid w:val="00563BFA"/>
    <w:rsid w:val="00563C72"/>
    <w:rsid w:val="00563F71"/>
    <w:rsid w:val="0056400E"/>
    <w:rsid w:val="005641ED"/>
    <w:rsid w:val="0056426F"/>
    <w:rsid w:val="00564305"/>
    <w:rsid w:val="005643BE"/>
    <w:rsid w:val="005646D6"/>
    <w:rsid w:val="00564876"/>
    <w:rsid w:val="005648EE"/>
    <w:rsid w:val="00565077"/>
    <w:rsid w:val="005650C1"/>
    <w:rsid w:val="00565608"/>
    <w:rsid w:val="005658B3"/>
    <w:rsid w:val="005659EE"/>
    <w:rsid w:val="00565A07"/>
    <w:rsid w:val="00565C11"/>
    <w:rsid w:val="00565C9E"/>
    <w:rsid w:val="00565ED6"/>
    <w:rsid w:val="00565FC3"/>
    <w:rsid w:val="005662F8"/>
    <w:rsid w:val="0056660C"/>
    <w:rsid w:val="00566A83"/>
    <w:rsid w:val="00566AC3"/>
    <w:rsid w:val="00566AC8"/>
    <w:rsid w:val="00566BE8"/>
    <w:rsid w:val="00566ECE"/>
    <w:rsid w:val="00566EE0"/>
    <w:rsid w:val="00566EF1"/>
    <w:rsid w:val="00567272"/>
    <w:rsid w:val="00567296"/>
    <w:rsid w:val="00567326"/>
    <w:rsid w:val="00567340"/>
    <w:rsid w:val="00567472"/>
    <w:rsid w:val="005676D3"/>
    <w:rsid w:val="0056774B"/>
    <w:rsid w:val="00567863"/>
    <w:rsid w:val="0056793C"/>
    <w:rsid w:val="00567B3C"/>
    <w:rsid w:val="00567E05"/>
    <w:rsid w:val="0057024C"/>
    <w:rsid w:val="00570410"/>
    <w:rsid w:val="0057057C"/>
    <w:rsid w:val="0057057F"/>
    <w:rsid w:val="00570847"/>
    <w:rsid w:val="00570D99"/>
    <w:rsid w:val="0057105E"/>
    <w:rsid w:val="0057112E"/>
    <w:rsid w:val="005711D7"/>
    <w:rsid w:val="005715C1"/>
    <w:rsid w:val="0057161A"/>
    <w:rsid w:val="0057174F"/>
    <w:rsid w:val="0057178B"/>
    <w:rsid w:val="005717FF"/>
    <w:rsid w:val="00571BB8"/>
    <w:rsid w:val="00571C1B"/>
    <w:rsid w:val="00571CA0"/>
    <w:rsid w:val="00571E50"/>
    <w:rsid w:val="00571E67"/>
    <w:rsid w:val="00571FD7"/>
    <w:rsid w:val="0057201C"/>
    <w:rsid w:val="0057240B"/>
    <w:rsid w:val="0057261C"/>
    <w:rsid w:val="00572771"/>
    <w:rsid w:val="00572934"/>
    <w:rsid w:val="005729C7"/>
    <w:rsid w:val="00572AC7"/>
    <w:rsid w:val="00572B91"/>
    <w:rsid w:val="00572BC4"/>
    <w:rsid w:val="00572E44"/>
    <w:rsid w:val="00572F2E"/>
    <w:rsid w:val="00572FE3"/>
    <w:rsid w:val="0057324B"/>
    <w:rsid w:val="00573314"/>
    <w:rsid w:val="0057332F"/>
    <w:rsid w:val="00573383"/>
    <w:rsid w:val="005734C5"/>
    <w:rsid w:val="005734D8"/>
    <w:rsid w:val="00573534"/>
    <w:rsid w:val="005735D8"/>
    <w:rsid w:val="00573830"/>
    <w:rsid w:val="00573978"/>
    <w:rsid w:val="00573B3D"/>
    <w:rsid w:val="00573B41"/>
    <w:rsid w:val="00573DA9"/>
    <w:rsid w:val="00573E4D"/>
    <w:rsid w:val="00573F0D"/>
    <w:rsid w:val="00573FE5"/>
    <w:rsid w:val="00574230"/>
    <w:rsid w:val="00574246"/>
    <w:rsid w:val="005742C8"/>
    <w:rsid w:val="005742D5"/>
    <w:rsid w:val="005743F3"/>
    <w:rsid w:val="00574711"/>
    <w:rsid w:val="005747D2"/>
    <w:rsid w:val="0057483D"/>
    <w:rsid w:val="00574933"/>
    <w:rsid w:val="0057493C"/>
    <w:rsid w:val="00574955"/>
    <w:rsid w:val="00574C53"/>
    <w:rsid w:val="00574CC6"/>
    <w:rsid w:val="00574FDD"/>
    <w:rsid w:val="0057514F"/>
    <w:rsid w:val="0057523B"/>
    <w:rsid w:val="0057532E"/>
    <w:rsid w:val="005753AF"/>
    <w:rsid w:val="00575538"/>
    <w:rsid w:val="00575B3D"/>
    <w:rsid w:val="00575C27"/>
    <w:rsid w:val="00575D5A"/>
    <w:rsid w:val="00575D99"/>
    <w:rsid w:val="00575F3D"/>
    <w:rsid w:val="00576215"/>
    <w:rsid w:val="005764A0"/>
    <w:rsid w:val="005766C8"/>
    <w:rsid w:val="00576B22"/>
    <w:rsid w:val="00576B52"/>
    <w:rsid w:val="00576B75"/>
    <w:rsid w:val="00576C64"/>
    <w:rsid w:val="00576D90"/>
    <w:rsid w:val="00576E1D"/>
    <w:rsid w:val="00576E8C"/>
    <w:rsid w:val="0057704E"/>
    <w:rsid w:val="0057717E"/>
    <w:rsid w:val="005771E4"/>
    <w:rsid w:val="00577375"/>
    <w:rsid w:val="00577457"/>
    <w:rsid w:val="0057797F"/>
    <w:rsid w:val="00577A1A"/>
    <w:rsid w:val="00577B7C"/>
    <w:rsid w:val="00577D8A"/>
    <w:rsid w:val="00577E19"/>
    <w:rsid w:val="00577FDB"/>
    <w:rsid w:val="00577FE9"/>
    <w:rsid w:val="0058011F"/>
    <w:rsid w:val="00580287"/>
    <w:rsid w:val="0058043D"/>
    <w:rsid w:val="00580445"/>
    <w:rsid w:val="0058062B"/>
    <w:rsid w:val="0058079A"/>
    <w:rsid w:val="00580834"/>
    <w:rsid w:val="005809B0"/>
    <w:rsid w:val="00580A82"/>
    <w:rsid w:val="00580FFB"/>
    <w:rsid w:val="0058106E"/>
    <w:rsid w:val="00581354"/>
    <w:rsid w:val="0058179A"/>
    <w:rsid w:val="005817E1"/>
    <w:rsid w:val="005823CC"/>
    <w:rsid w:val="00582481"/>
    <w:rsid w:val="00582508"/>
    <w:rsid w:val="00582784"/>
    <w:rsid w:val="0058291A"/>
    <w:rsid w:val="00582994"/>
    <w:rsid w:val="00582A02"/>
    <w:rsid w:val="00582A30"/>
    <w:rsid w:val="00582A37"/>
    <w:rsid w:val="00582A5A"/>
    <w:rsid w:val="00582A74"/>
    <w:rsid w:val="00582BF7"/>
    <w:rsid w:val="00582F5F"/>
    <w:rsid w:val="0058322B"/>
    <w:rsid w:val="005834AC"/>
    <w:rsid w:val="005834AF"/>
    <w:rsid w:val="00583523"/>
    <w:rsid w:val="005835C3"/>
    <w:rsid w:val="00583752"/>
    <w:rsid w:val="0058392C"/>
    <w:rsid w:val="00583CBA"/>
    <w:rsid w:val="00583D3E"/>
    <w:rsid w:val="00583D71"/>
    <w:rsid w:val="00583DE4"/>
    <w:rsid w:val="00583E06"/>
    <w:rsid w:val="00583FED"/>
    <w:rsid w:val="00584391"/>
    <w:rsid w:val="00584555"/>
    <w:rsid w:val="00584600"/>
    <w:rsid w:val="0058465B"/>
    <w:rsid w:val="00584717"/>
    <w:rsid w:val="0058472D"/>
    <w:rsid w:val="005847BD"/>
    <w:rsid w:val="00584E10"/>
    <w:rsid w:val="00584FF7"/>
    <w:rsid w:val="00585181"/>
    <w:rsid w:val="0058528B"/>
    <w:rsid w:val="005852C4"/>
    <w:rsid w:val="0058531D"/>
    <w:rsid w:val="00585450"/>
    <w:rsid w:val="0058545C"/>
    <w:rsid w:val="00585539"/>
    <w:rsid w:val="0058554F"/>
    <w:rsid w:val="0058593C"/>
    <w:rsid w:val="00585A61"/>
    <w:rsid w:val="00585A85"/>
    <w:rsid w:val="00585AC3"/>
    <w:rsid w:val="00585AF9"/>
    <w:rsid w:val="00585D30"/>
    <w:rsid w:val="00585E5D"/>
    <w:rsid w:val="00585F1E"/>
    <w:rsid w:val="00586185"/>
    <w:rsid w:val="005862DF"/>
    <w:rsid w:val="00586316"/>
    <w:rsid w:val="00586460"/>
    <w:rsid w:val="005865EC"/>
    <w:rsid w:val="00586750"/>
    <w:rsid w:val="005869AA"/>
    <w:rsid w:val="00586B60"/>
    <w:rsid w:val="00586BA1"/>
    <w:rsid w:val="00586BAD"/>
    <w:rsid w:val="00586D00"/>
    <w:rsid w:val="00586E7D"/>
    <w:rsid w:val="00586ECD"/>
    <w:rsid w:val="00586F96"/>
    <w:rsid w:val="00587002"/>
    <w:rsid w:val="00587027"/>
    <w:rsid w:val="00587250"/>
    <w:rsid w:val="0058729F"/>
    <w:rsid w:val="005872CE"/>
    <w:rsid w:val="005874A5"/>
    <w:rsid w:val="005875CE"/>
    <w:rsid w:val="00587802"/>
    <w:rsid w:val="00587815"/>
    <w:rsid w:val="00587AA9"/>
    <w:rsid w:val="00587AE2"/>
    <w:rsid w:val="00587C5B"/>
    <w:rsid w:val="00590048"/>
    <w:rsid w:val="0059013D"/>
    <w:rsid w:val="00590190"/>
    <w:rsid w:val="005905CC"/>
    <w:rsid w:val="00590A0C"/>
    <w:rsid w:val="00590AB7"/>
    <w:rsid w:val="00590ADD"/>
    <w:rsid w:val="00590BCA"/>
    <w:rsid w:val="00590BDF"/>
    <w:rsid w:val="00590C6E"/>
    <w:rsid w:val="00590D9D"/>
    <w:rsid w:val="0059110E"/>
    <w:rsid w:val="005914D5"/>
    <w:rsid w:val="00591552"/>
    <w:rsid w:val="0059164C"/>
    <w:rsid w:val="00591863"/>
    <w:rsid w:val="005918A4"/>
    <w:rsid w:val="00591987"/>
    <w:rsid w:val="00591B6C"/>
    <w:rsid w:val="00591E24"/>
    <w:rsid w:val="00592311"/>
    <w:rsid w:val="00592322"/>
    <w:rsid w:val="005923CA"/>
    <w:rsid w:val="0059242D"/>
    <w:rsid w:val="005925B6"/>
    <w:rsid w:val="005927E0"/>
    <w:rsid w:val="00592933"/>
    <w:rsid w:val="00592B11"/>
    <w:rsid w:val="00592FC2"/>
    <w:rsid w:val="005930D7"/>
    <w:rsid w:val="0059312E"/>
    <w:rsid w:val="005933F9"/>
    <w:rsid w:val="0059359F"/>
    <w:rsid w:val="005939EE"/>
    <w:rsid w:val="00593ADD"/>
    <w:rsid w:val="00593C1E"/>
    <w:rsid w:val="00593C89"/>
    <w:rsid w:val="00593D5B"/>
    <w:rsid w:val="00593D8D"/>
    <w:rsid w:val="00593F68"/>
    <w:rsid w:val="00594166"/>
    <w:rsid w:val="0059422D"/>
    <w:rsid w:val="005943E5"/>
    <w:rsid w:val="00594424"/>
    <w:rsid w:val="0059464A"/>
    <w:rsid w:val="00594650"/>
    <w:rsid w:val="005946DF"/>
    <w:rsid w:val="0059498D"/>
    <w:rsid w:val="00594B9B"/>
    <w:rsid w:val="00594BA2"/>
    <w:rsid w:val="00594C64"/>
    <w:rsid w:val="00594CCF"/>
    <w:rsid w:val="00594F68"/>
    <w:rsid w:val="00594F7D"/>
    <w:rsid w:val="00594F9C"/>
    <w:rsid w:val="00595062"/>
    <w:rsid w:val="0059510B"/>
    <w:rsid w:val="005951FD"/>
    <w:rsid w:val="0059534D"/>
    <w:rsid w:val="0059541C"/>
    <w:rsid w:val="00595460"/>
    <w:rsid w:val="00595714"/>
    <w:rsid w:val="0059571D"/>
    <w:rsid w:val="005957E3"/>
    <w:rsid w:val="00595ADA"/>
    <w:rsid w:val="00595D4F"/>
    <w:rsid w:val="00595D8B"/>
    <w:rsid w:val="00595E79"/>
    <w:rsid w:val="00596185"/>
    <w:rsid w:val="0059627E"/>
    <w:rsid w:val="005962F3"/>
    <w:rsid w:val="0059632D"/>
    <w:rsid w:val="00596337"/>
    <w:rsid w:val="00596654"/>
    <w:rsid w:val="005967B4"/>
    <w:rsid w:val="005967FE"/>
    <w:rsid w:val="005968BB"/>
    <w:rsid w:val="00596B1D"/>
    <w:rsid w:val="00596E98"/>
    <w:rsid w:val="00597031"/>
    <w:rsid w:val="00597356"/>
    <w:rsid w:val="00597358"/>
    <w:rsid w:val="00597417"/>
    <w:rsid w:val="00597795"/>
    <w:rsid w:val="005977E4"/>
    <w:rsid w:val="00597801"/>
    <w:rsid w:val="0059790A"/>
    <w:rsid w:val="00597A2E"/>
    <w:rsid w:val="00597B28"/>
    <w:rsid w:val="00597B59"/>
    <w:rsid w:val="00597C6D"/>
    <w:rsid w:val="00597E35"/>
    <w:rsid w:val="00597F15"/>
    <w:rsid w:val="005A009A"/>
    <w:rsid w:val="005A01C1"/>
    <w:rsid w:val="005A04B5"/>
    <w:rsid w:val="005A05DB"/>
    <w:rsid w:val="005A0601"/>
    <w:rsid w:val="005A06BF"/>
    <w:rsid w:val="005A0866"/>
    <w:rsid w:val="005A0A70"/>
    <w:rsid w:val="005A0DAD"/>
    <w:rsid w:val="005A0E7C"/>
    <w:rsid w:val="005A1337"/>
    <w:rsid w:val="005A1540"/>
    <w:rsid w:val="005A1707"/>
    <w:rsid w:val="005A17BC"/>
    <w:rsid w:val="005A17F4"/>
    <w:rsid w:val="005A1B18"/>
    <w:rsid w:val="005A1B4A"/>
    <w:rsid w:val="005A1B99"/>
    <w:rsid w:val="005A1CBB"/>
    <w:rsid w:val="005A1FC8"/>
    <w:rsid w:val="005A21EB"/>
    <w:rsid w:val="005A2648"/>
    <w:rsid w:val="005A28E7"/>
    <w:rsid w:val="005A28FE"/>
    <w:rsid w:val="005A29E0"/>
    <w:rsid w:val="005A2A1A"/>
    <w:rsid w:val="005A2D35"/>
    <w:rsid w:val="005A2DFA"/>
    <w:rsid w:val="005A2E29"/>
    <w:rsid w:val="005A2FF5"/>
    <w:rsid w:val="005A3000"/>
    <w:rsid w:val="005A3020"/>
    <w:rsid w:val="005A3123"/>
    <w:rsid w:val="005A3272"/>
    <w:rsid w:val="005A347A"/>
    <w:rsid w:val="005A34B3"/>
    <w:rsid w:val="005A3539"/>
    <w:rsid w:val="005A3557"/>
    <w:rsid w:val="005A3634"/>
    <w:rsid w:val="005A384A"/>
    <w:rsid w:val="005A391C"/>
    <w:rsid w:val="005A39A3"/>
    <w:rsid w:val="005A3A12"/>
    <w:rsid w:val="005A3A60"/>
    <w:rsid w:val="005A3BDC"/>
    <w:rsid w:val="005A3FDE"/>
    <w:rsid w:val="005A423E"/>
    <w:rsid w:val="005A436E"/>
    <w:rsid w:val="005A44E0"/>
    <w:rsid w:val="005A450C"/>
    <w:rsid w:val="005A45C7"/>
    <w:rsid w:val="005A4683"/>
    <w:rsid w:val="005A46D7"/>
    <w:rsid w:val="005A484C"/>
    <w:rsid w:val="005A48A5"/>
    <w:rsid w:val="005A4948"/>
    <w:rsid w:val="005A4995"/>
    <w:rsid w:val="005A4AB6"/>
    <w:rsid w:val="005A4C3F"/>
    <w:rsid w:val="005A4C41"/>
    <w:rsid w:val="005A4CA4"/>
    <w:rsid w:val="005A4D8C"/>
    <w:rsid w:val="005A4E75"/>
    <w:rsid w:val="005A50C2"/>
    <w:rsid w:val="005A5160"/>
    <w:rsid w:val="005A5273"/>
    <w:rsid w:val="005A52F3"/>
    <w:rsid w:val="005A54CE"/>
    <w:rsid w:val="005A589B"/>
    <w:rsid w:val="005A59A2"/>
    <w:rsid w:val="005A59BA"/>
    <w:rsid w:val="005A5B0F"/>
    <w:rsid w:val="005A5C0D"/>
    <w:rsid w:val="005A5CFF"/>
    <w:rsid w:val="005A5DCB"/>
    <w:rsid w:val="005A5E69"/>
    <w:rsid w:val="005A613A"/>
    <w:rsid w:val="005A6350"/>
    <w:rsid w:val="005A6367"/>
    <w:rsid w:val="005A648E"/>
    <w:rsid w:val="005A66AD"/>
    <w:rsid w:val="005A6736"/>
    <w:rsid w:val="005A6B9B"/>
    <w:rsid w:val="005A6D0E"/>
    <w:rsid w:val="005A6D92"/>
    <w:rsid w:val="005A6E0E"/>
    <w:rsid w:val="005A6E38"/>
    <w:rsid w:val="005A6E42"/>
    <w:rsid w:val="005A6E8F"/>
    <w:rsid w:val="005A6FB9"/>
    <w:rsid w:val="005A721B"/>
    <w:rsid w:val="005A7242"/>
    <w:rsid w:val="005A725A"/>
    <w:rsid w:val="005A7294"/>
    <w:rsid w:val="005A7345"/>
    <w:rsid w:val="005A7C26"/>
    <w:rsid w:val="005A7C44"/>
    <w:rsid w:val="005A7C9F"/>
    <w:rsid w:val="005B0295"/>
    <w:rsid w:val="005B052E"/>
    <w:rsid w:val="005B0571"/>
    <w:rsid w:val="005B0609"/>
    <w:rsid w:val="005B0862"/>
    <w:rsid w:val="005B0B47"/>
    <w:rsid w:val="005B0BC5"/>
    <w:rsid w:val="005B0CC0"/>
    <w:rsid w:val="005B109B"/>
    <w:rsid w:val="005B10FF"/>
    <w:rsid w:val="005B117F"/>
    <w:rsid w:val="005B11CD"/>
    <w:rsid w:val="005B149A"/>
    <w:rsid w:val="005B153C"/>
    <w:rsid w:val="005B16CA"/>
    <w:rsid w:val="005B18C2"/>
    <w:rsid w:val="005B19BF"/>
    <w:rsid w:val="005B1B5A"/>
    <w:rsid w:val="005B1CBC"/>
    <w:rsid w:val="005B1CE3"/>
    <w:rsid w:val="005B1D9C"/>
    <w:rsid w:val="005B1EAE"/>
    <w:rsid w:val="005B22FF"/>
    <w:rsid w:val="005B23CC"/>
    <w:rsid w:val="005B247E"/>
    <w:rsid w:val="005B2537"/>
    <w:rsid w:val="005B2697"/>
    <w:rsid w:val="005B2714"/>
    <w:rsid w:val="005B295F"/>
    <w:rsid w:val="005B297A"/>
    <w:rsid w:val="005B2A34"/>
    <w:rsid w:val="005B2C49"/>
    <w:rsid w:val="005B2E3B"/>
    <w:rsid w:val="005B2F74"/>
    <w:rsid w:val="005B3127"/>
    <w:rsid w:val="005B3394"/>
    <w:rsid w:val="005B3460"/>
    <w:rsid w:val="005B3776"/>
    <w:rsid w:val="005B3A9F"/>
    <w:rsid w:val="005B3D16"/>
    <w:rsid w:val="005B3D55"/>
    <w:rsid w:val="005B3D64"/>
    <w:rsid w:val="005B3DF1"/>
    <w:rsid w:val="005B3E26"/>
    <w:rsid w:val="005B40D3"/>
    <w:rsid w:val="005B4115"/>
    <w:rsid w:val="005B415B"/>
    <w:rsid w:val="005B4203"/>
    <w:rsid w:val="005B43ED"/>
    <w:rsid w:val="005B45DC"/>
    <w:rsid w:val="005B49E4"/>
    <w:rsid w:val="005B4FB4"/>
    <w:rsid w:val="005B50E4"/>
    <w:rsid w:val="005B5448"/>
    <w:rsid w:val="005B5496"/>
    <w:rsid w:val="005B5514"/>
    <w:rsid w:val="005B5537"/>
    <w:rsid w:val="005B5A19"/>
    <w:rsid w:val="005B5A8F"/>
    <w:rsid w:val="005B5B1A"/>
    <w:rsid w:val="005B5BBC"/>
    <w:rsid w:val="005B5C5F"/>
    <w:rsid w:val="005B6249"/>
    <w:rsid w:val="005B624A"/>
    <w:rsid w:val="005B638E"/>
    <w:rsid w:val="005B63D8"/>
    <w:rsid w:val="005B69CF"/>
    <w:rsid w:val="005B6C82"/>
    <w:rsid w:val="005B6D14"/>
    <w:rsid w:val="005B6E32"/>
    <w:rsid w:val="005B7130"/>
    <w:rsid w:val="005B716D"/>
    <w:rsid w:val="005B7251"/>
    <w:rsid w:val="005B7561"/>
    <w:rsid w:val="005B7585"/>
    <w:rsid w:val="005B7679"/>
    <w:rsid w:val="005B7864"/>
    <w:rsid w:val="005B7872"/>
    <w:rsid w:val="005B7A9A"/>
    <w:rsid w:val="005B7AA0"/>
    <w:rsid w:val="005B7AB7"/>
    <w:rsid w:val="005BC64F"/>
    <w:rsid w:val="005C0008"/>
    <w:rsid w:val="005C00F3"/>
    <w:rsid w:val="005C053B"/>
    <w:rsid w:val="005C059F"/>
    <w:rsid w:val="005C0674"/>
    <w:rsid w:val="005C06FB"/>
    <w:rsid w:val="005C071B"/>
    <w:rsid w:val="005C0872"/>
    <w:rsid w:val="005C0BE8"/>
    <w:rsid w:val="005C0DEE"/>
    <w:rsid w:val="005C0E35"/>
    <w:rsid w:val="005C0E5F"/>
    <w:rsid w:val="005C0EFD"/>
    <w:rsid w:val="005C0FA9"/>
    <w:rsid w:val="005C1021"/>
    <w:rsid w:val="005C1410"/>
    <w:rsid w:val="005C1449"/>
    <w:rsid w:val="005C17F0"/>
    <w:rsid w:val="005C1C35"/>
    <w:rsid w:val="005C1DD9"/>
    <w:rsid w:val="005C1E99"/>
    <w:rsid w:val="005C1EA1"/>
    <w:rsid w:val="005C20FE"/>
    <w:rsid w:val="005C2257"/>
    <w:rsid w:val="005C232C"/>
    <w:rsid w:val="005C233B"/>
    <w:rsid w:val="005C26D4"/>
    <w:rsid w:val="005C295C"/>
    <w:rsid w:val="005C2991"/>
    <w:rsid w:val="005C29B8"/>
    <w:rsid w:val="005C2A14"/>
    <w:rsid w:val="005C2BD3"/>
    <w:rsid w:val="005C2CAE"/>
    <w:rsid w:val="005C31C6"/>
    <w:rsid w:val="005C32BA"/>
    <w:rsid w:val="005C32F2"/>
    <w:rsid w:val="005C33DC"/>
    <w:rsid w:val="005C3635"/>
    <w:rsid w:val="005C3907"/>
    <w:rsid w:val="005C39C5"/>
    <w:rsid w:val="005C3A8C"/>
    <w:rsid w:val="005C3AF3"/>
    <w:rsid w:val="005C3B03"/>
    <w:rsid w:val="005C3B40"/>
    <w:rsid w:val="005C3B44"/>
    <w:rsid w:val="005C3D8A"/>
    <w:rsid w:val="005C3DCC"/>
    <w:rsid w:val="005C3E69"/>
    <w:rsid w:val="005C3F8A"/>
    <w:rsid w:val="005C41D1"/>
    <w:rsid w:val="005C452A"/>
    <w:rsid w:val="005C4816"/>
    <w:rsid w:val="005C4936"/>
    <w:rsid w:val="005C4A05"/>
    <w:rsid w:val="005C4A90"/>
    <w:rsid w:val="005C4A9F"/>
    <w:rsid w:val="005C4BE1"/>
    <w:rsid w:val="005C4BE4"/>
    <w:rsid w:val="005C4C5E"/>
    <w:rsid w:val="005C4E65"/>
    <w:rsid w:val="005C5029"/>
    <w:rsid w:val="005C54A7"/>
    <w:rsid w:val="005C555D"/>
    <w:rsid w:val="005C556A"/>
    <w:rsid w:val="005C55D4"/>
    <w:rsid w:val="005C55D7"/>
    <w:rsid w:val="005C59FF"/>
    <w:rsid w:val="005C5B96"/>
    <w:rsid w:val="005C5CBC"/>
    <w:rsid w:val="005C5EC6"/>
    <w:rsid w:val="005C5EE6"/>
    <w:rsid w:val="005C60F8"/>
    <w:rsid w:val="005C6133"/>
    <w:rsid w:val="005C61AD"/>
    <w:rsid w:val="005C6768"/>
    <w:rsid w:val="005C6BDA"/>
    <w:rsid w:val="005C6CAB"/>
    <w:rsid w:val="005C6E0C"/>
    <w:rsid w:val="005C6E26"/>
    <w:rsid w:val="005C6E2E"/>
    <w:rsid w:val="005C7080"/>
    <w:rsid w:val="005C710F"/>
    <w:rsid w:val="005C7357"/>
    <w:rsid w:val="005C7668"/>
    <w:rsid w:val="005C771E"/>
    <w:rsid w:val="005C7846"/>
    <w:rsid w:val="005C78F4"/>
    <w:rsid w:val="005C7939"/>
    <w:rsid w:val="005C7BA8"/>
    <w:rsid w:val="005C7C0E"/>
    <w:rsid w:val="005C7D2C"/>
    <w:rsid w:val="005C7E5F"/>
    <w:rsid w:val="005C7EBF"/>
    <w:rsid w:val="005D006F"/>
    <w:rsid w:val="005D0170"/>
    <w:rsid w:val="005D03E2"/>
    <w:rsid w:val="005D0406"/>
    <w:rsid w:val="005D0439"/>
    <w:rsid w:val="005D044D"/>
    <w:rsid w:val="005D04A4"/>
    <w:rsid w:val="005D050C"/>
    <w:rsid w:val="005D0A7A"/>
    <w:rsid w:val="005D0B55"/>
    <w:rsid w:val="005D0D98"/>
    <w:rsid w:val="005D111E"/>
    <w:rsid w:val="005D1146"/>
    <w:rsid w:val="005D1168"/>
    <w:rsid w:val="005D11C3"/>
    <w:rsid w:val="005D1252"/>
    <w:rsid w:val="005D141B"/>
    <w:rsid w:val="005D161F"/>
    <w:rsid w:val="005D1783"/>
    <w:rsid w:val="005D180B"/>
    <w:rsid w:val="005D183E"/>
    <w:rsid w:val="005D1877"/>
    <w:rsid w:val="005D1AF9"/>
    <w:rsid w:val="005D1B11"/>
    <w:rsid w:val="005D2170"/>
    <w:rsid w:val="005D2256"/>
    <w:rsid w:val="005D2411"/>
    <w:rsid w:val="005D24AB"/>
    <w:rsid w:val="005D24B0"/>
    <w:rsid w:val="005D2550"/>
    <w:rsid w:val="005D27D0"/>
    <w:rsid w:val="005D28EC"/>
    <w:rsid w:val="005D2A27"/>
    <w:rsid w:val="005D2A52"/>
    <w:rsid w:val="005D2AA0"/>
    <w:rsid w:val="005D2ACC"/>
    <w:rsid w:val="005D2AE1"/>
    <w:rsid w:val="005D2B88"/>
    <w:rsid w:val="005D322B"/>
    <w:rsid w:val="005D34C9"/>
    <w:rsid w:val="005D3626"/>
    <w:rsid w:val="005D3684"/>
    <w:rsid w:val="005D389F"/>
    <w:rsid w:val="005D3915"/>
    <w:rsid w:val="005D3AE3"/>
    <w:rsid w:val="005D3B40"/>
    <w:rsid w:val="005D3C5D"/>
    <w:rsid w:val="005D3C80"/>
    <w:rsid w:val="005D3CEF"/>
    <w:rsid w:val="005D3D8C"/>
    <w:rsid w:val="005D3E41"/>
    <w:rsid w:val="005D3F6F"/>
    <w:rsid w:val="005D3F72"/>
    <w:rsid w:val="005D413C"/>
    <w:rsid w:val="005D41F9"/>
    <w:rsid w:val="005D4201"/>
    <w:rsid w:val="005D4326"/>
    <w:rsid w:val="005D4379"/>
    <w:rsid w:val="005D45D4"/>
    <w:rsid w:val="005D4626"/>
    <w:rsid w:val="005D46E2"/>
    <w:rsid w:val="005D475F"/>
    <w:rsid w:val="005D477A"/>
    <w:rsid w:val="005D4879"/>
    <w:rsid w:val="005D4DA9"/>
    <w:rsid w:val="005D4E66"/>
    <w:rsid w:val="005D4EDC"/>
    <w:rsid w:val="005D50A5"/>
    <w:rsid w:val="005D5140"/>
    <w:rsid w:val="005D54F8"/>
    <w:rsid w:val="005D5AC9"/>
    <w:rsid w:val="005D5DA1"/>
    <w:rsid w:val="005D5EF6"/>
    <w:rsid w:val="005D6066"/>
    <w:rsid w:val="005D611B"/>
    <w:rsid w:val="005D628B"/>
    <w:rsid w:val="005D62D7"/>
    <w:rsid w:val="005D632B"/>
    <w:rsid w:val="005D64E0"/>
    <w:rsid w:val="005D681B"/>
    <w:rsid w:val="005D6825"/>
    <w:rsid w:val="005D6A9F"/>
    <w:rsid w:val="005D6D2D"/>
    <w:rsid w:val="005D6DE8"/>
    <w:rsid w:val="005D6E21"/>
    <w:rsid w:val="005D6ECC"/>
    <w:rsid w:val="005D6FDF"/>
    <w:rsid w:val="005D704F"/>
    <w:rsid w:val="005D7124"/>
    <w:rsid w:val="005D718C"/>
    <w:rsid w:val="005D74E0"/>
    <w:rsid w:val="005D765F"/>
    <w:rsid w:val="005D7719"/>
    <w:rsid w:val="005D78E9"/>
    <w:rsid w:val="005D792A"/>
    <w:rsid w:val="005D7B23"/>
    <w:rsid w:val="005D7C6B"/>
    <w:rsid w:val="005D7D8A"/>
    <w:rsid w:val="005D7E14"/>
    <w:rsid w:val="005D7E4D"/>
    <w:rsid w:val="005D7F5F"/>
    <w:rsid w:val="005D7F65"/>
    <w:rsid w:val="005E012A"/>
    <w:rsid w:val="005E0377"/>
    <w:rsid w:val="005E041F"/>
    <w:rsid w:val="005E0439"/>
    <w:rsid w:val="005E0584"/>
    <w:rsid w:val="005E0751"/>
    <w:rsid w:val="005E07EB"/>
    <w:rsid w:val="005E07FA"/>
    <w:rsid w:val="005E090C"/>
    <w:rsid w:val="005E0A7B"/>
    <w:rsid w:val="005E0C8C"/>
    <w:rsid w:val="005E0CFF"/>
    <w:rsid w:val="005E0D05"/>
    <w:rsid w:val="005E0D3F"/>
    <w:rsid w:val="005E0E80"/>
    <w:rsid w:val="005E114E"/>
    <w:rsid w:val="005E1257"/>
    <w:rsid w:val="005E1279"/>
    <w:rsid w:val="005E1489"/>
    <w:rsid w:val="005E149E"/>
    <w:rsid w:val="005E1511"/>
    <w:rsid w:val="005E1578"/>
    <w:rsid w:val="005E162C"/>
    <w:rsid w:val="005E17B9"/>
    <w:rsid w:val="005E17F6"/>
    <w:rsid w:val="005E1836"/>
    <w:rsid w:val="005E1964"/>
    <w:rsid w:val="005E1E34"/>
    <w:rsid w:val="005E1E52"/>
    <w:rsid w:val="005E21A6"/>
    <w:rsid w:val="005E2463"/>
    <w:rsid w:val="005E24F9"/>
    <w:rsid w:val="005E2519"/>
    <w:rsid w:val="005E278E"/>
    <w:rsid w:val="005E27BF"/>
    <w:rsid w:val="005E2802"/>
    <w:rsid w:val="005E297D"/>
    <w:rsid w:val="005E2A00"/>
    <w:rsid w:val="005E2ABF"/>
    <w:rsid w:val="005E2C61"/>
    <w:rsid w:val="005E2DAA"/>
    <w:rsid w:val="005E2DE4"/>
    <w:rsid w:val="005E30A2"/>
    <w:rsid w:val="005E30E7"/>
    <w:rsid w:val="005E31C2"/>
    <w:rsid w:val="005E33EE"/>
    <w:rsid w:val="005E370B"/>
    <w:rsid w:val="005E3B5C"/>
    <w:rsid w:val="005E3EC3"/>
    <w:rsid w:val="005E40A5"/>
    <w:rsid w:val="005E4221"/>
    <w:rsid w:val="005E4237"/>
    <w:rsid w:val="005E4364"/>
    <w:rsid w:val="005E43AC"/>
    <w:rsid w:val="005E4483"/>
    <w:rsid w:val="005E457A"/>
    <w:rsid w:val="005E4636"/>
    <w:rsid w:val="005E46FD"/>
    <w:rsid w:val="005E4740"/>
    <w:rsid w:val="005E485F"/>
    <w:rsid w:val="005E48D3"/>
    <w:rsid w:val="005E48F9"/>
    <w:rsid w:val="005E4A7B"/>
    <w:rsid w:val="005E4C85"/>
    <w:rsid w:val="005E4E1E"/>
    <w:rsid w:val="005E53C5"/>
    <w:rsid w:val="005E5497"/>
    <w:rsid w:val="005E5857"/>
    <w:rsid w:val="005E5A7D"/>
    <w:rsid w:val="005E5B49"/>
    <w:rsid w:val="005E5C2C"/>
    <w:rsid w:val="005E5C80"/>
    <w:rsid w:val="005E5F1F"/>
    <w:rsid w:val="005E5FF0"/>
    <w:rsid w:val="005E604D"/>
    <w:rsid w:val="005E607F"/>
    <w:rsid w:val="005E6116"/>
    <w:rsid w:val="005E6143"/>
    <w:rsid w:val="005E61FD"/>
    <w:rsid w:val="005E6262"/>
    <w:rsid w:val="005E62A2"/>
    <w:rsid w:val="005E655B"/>
    <w:rsid w:val="005E6667"/>
    <w:rsid w:val="005E66CB"/>
    <w:rsid w:val="005E67D2"/>
    <w:rsid w:val="005E6AB4"/>
    <w:rsid w:val="005E6C4D"/>
    <w:rsid w:val="005E6DAE"/>
    <w:rsid w:val="005E6DCC"/>
    <w:rsid w:val="005E715A"/>
    <w:rsid w:val="005E7246"/>
    <w:rsid w:val="005E7370"/>
    <w:rsid w:val="005E74A6"/>
    <w:rsid w:val="005E74F8"/>
    <w:rsid w:val="005E763A"/>
    <w:rsid w:val="005E7958"/>
    <w:rsid w:val="005E7A0C"/>
    <w:rsid w:val="005E7B0D"/>
    <w:rsid w:val="005E7B2E"/>
    <w:rsid w:val="005E7C5F"/>
    <w:rsid w:val="005E7DC8"/>
    <w:rsid w:val="005E7DE3"/>
    <w:rsid w:val="005F027A"/>
    <w:rsid w:val="005F029D"/>
    <w:rsid w:val="005F04F4"/>
    <w:rsid w:val="005F0720"/>
    <w:rsid w:val="005F0DB5"/>
    <w:rsid w:val="005F115C"/>
    <w:rsid w:val="005F11CB"/>
    <w:rsid w:val="005F12E8"/>
    <w:rsid w:val="005F1383"/>
    <w:rsid w:val="005F13CC"/>
    <w:rsid w:val="005F14AA"/>
    <w:rsid w:val="005F14C0"/>
    <w:rsid w:val="005F15D7"/>
    <w:rsid w:val="005F15E2"/>
    <w:rsid w:val="005F15E3"/>
    <w:rsid w:val="005F16FC"/>
    <w:rsid w:val="005F17BA"/>
    <w:rsid w:val="005F19BC"/>
    <w:rsid w:val="005F1A19"/>
    <w:rsid w:val="005F1A7D"/>
    <w:rsid w:val="005F1C25"/>
    <w:rsid w:val="005F1C89"/>
    <w:rsid w:val="005F1CB6"/>
    <w:rsid w:val="005F1D09"/>
    <w:rsid w:val="005F1ECB"/>
    <w:rsid w:val="005F20AB"/>
    <w:rsid w:val="005F2166"/>
    <w:rsid w:val="005F218C"/>
    <w:rsid w:val="005F21AC"/>
    <w:rsid w:val="005F221C"/>
    <w:rsid w:val="005F226A"/>
    <w:rsid w:val="005F2286"/>
    <w:rsid w:val="005F22A5"/>
    <w:rsid w:val="005F2463"/>
    <w:rsid w:val="005F24BB"/>
    <w:rsid w:val="005F272E"/>
    <w:rsid w:val="005F273E"/>
    <w:rsid w:val="005F2849"/>
    <w:rsid w:val="005F2A16"/>
    <w:rsid w:val="005F2BB7"/>
    <w:rsid w:val="005F2C7B"/>
    <w:rsid w:val="005F2C87"/>
    <w:rsid w:val="005F2D33"/>
    <w:rsid w:val="005F3133"/>
    <w:rsid w:val="005F31B1"/>
    <w:rsid w:val="005F31E6"/>
    <w:rsid w:val="005F32CD"/>
    <w:rsid w:val="005F3368"/>
    <w:rsid w:val="005F348A"/>
    <w:rsid w:val="005F37A2"/>
    <w:rsid w:val="005F37A3"/>
    <w:rsid w:val="005F3833"/>
    <w:rsid w:val="005F3868"/>
    <w:rsid w:val="005F38D9"/>
    <w:rsid w:val="005F38E7"/>
    <w:rsid w:val="005F39CD"/>
    <w:rsid w:val="005F3A7A"/>
    <w:rsid w:val="005F3CB2"/>
    <w:rsid w:val="005F3CF3"/>
    <w:rsid w:val="005F3DE8"/>
    <w:rsid w:val="005F3F02"/>
    <w:rsid w:val="005F3FEB"/>
    <w:rsid w:val="005F40B3"/>
    <w:rsid w:val="005F40D8"/>
    <w:rsid w:val="005F416F"/>
    <w:rsid w:val="005F4216"/>
    <w:rsid w:val="005F432E"/>
    <w:rsid w:val="005F4581"/>
    <w:rsid w:val="005F45FD"/>
    <w:rsid w:val="005F47D4"/>
    <w:rsid w:val="005F48B2"/>
    <w:rsid w:val="005F4921"/>
    <w:rsid w:val="005F498A"/>
    <w:rsid w:val="005F4A21"/>
    <w:rsid w:val="005F4B1D"/>
    <w:rsid w:val="005F4C7F"/>
    <w:rsid w:val="005F4D7A"/>
    <w:rsid w:val="005F4DC5"/>
    <w:rsid w:val="005F4DDE"/>
    <w:rsid w:val="005F4DF9"/>
    <w:rsid w:val="005F516F"/>
    <w:rsid w:val="005F52A5"/>
    <w:rsid w:val="005F5868"/>
    <w:rsid w:val="005F5AC9"/>
    <w:rsid w:val="005F5F05"/>
    <w:rsid w:val="005F6046"/>
    <w:rsid w:val="005F64C3"/>
    <w:rsid w:val="005F6596"/>
    <w:rsid w:val="005F66E0"/>
    <w:rsid w:val="005F66EC"/>
    <w:rsid w:val="005F67D8"/>
    <w:rsid w:val="005F6C8D"/>
    <w:rsid w:val="005F6CA4"/>
    <w:rsid w:val="005F6DFA"/>
    <w:rsid w:val="005F6F59"/>
    <w:rsid w:val="005F71B1"/>
    <w:rsid w:val="005F751F"/>
    <w:rsid w:val="005F76C5"/>
    <w:rsid w:val="005F7702"/>
    <w:rsid w:val="005F7943"/>
    <w:rsid w:val="005F79BC"/>
    <w:rsid w:val="006000AB"/>
    <w:rsid w:val="0060031A"/>
    <w:rsid w:val="0060038B"/>
    <w:rsid w:val="006007BF"/>
    <w:rsid w:val="00600891"/>
    <w:rsid w:val="00600A44"/>
    <w:rsid w:val="00600BB1"/>
    <w:rsid w:val="00600C83"/>
    <w:rsid w:val="00600D01"/>
    <w:rsid w:val="00600D53"/>
    <w:rsid w:val="00600EAF"/>
    <w:rsid w:val="00600EE4"/>
    <w:rsid w:val="00600FCB"/>
    <w:rsid w:val="006012CB"/>
    <w:rsid w:val="00601374"/>
    <w:rsid w:val="00601375"/>
    <w:rsid w:val="00601516"/>
    <w:rsid w:val="00601596"/>
    <w:rsid w:val="006016FC"/>
    <w:rsid w:val="006018AB"/>
    <w:rsid w:val="006019B7"/>
    <w:rsid w:val="00601A72"/>
    <w:rsid w:val="00601B4C"/>
    <w:rsid w:val="00601DDB"/>
    <w:rsid w:val="00601F18"/>
    <w:rsid w:val="006021D8"/>
    <w:rsid w:val="00602355"/>
    <w:rsid w:val="00602382"/>
    <w:rsid w:val="006023AD"/>
    <w:rsid w:val="00602811"/>
    <w:rsid w:val="00602A59"/>
    <w:rsid w:val="00602AAB"/>
    <w:rsid w:val="00602ABE"/>
    <w:rsid w:val="00602BCB"/>
    <w:rsid w:val="00602E92"/>
    <w:rsid w:val="0060302E"/>
    <w:rsid w:val="00603167"/>
    <w:rsid w:val="006031B8"/>
    <w:rsid w:val="00603215"/>
    <w:rsid w:val="006032BB"/>
    <w:rsid w:val="00603840"/>
    <w:rsid w:val="006038DB"/>
    <w:rsid w:val="00603A07"/>
    <w:rsid w:val="00603C1C"/>
    <w:rsid w:val="00603E88"/>
    <w:rsid w:val="00603F52"/>
    <w:rsid w:val="00604048"/>
    <w:rsid w:val="006042A9"/>
    <w:rsid w:val="00604419"/>
    <w:rsid w:val="00604508"/>
    <w:rsid w:val="006045FD"/>
    <w:rsid w:val="0060469D"/>
    <w:rsid w:val="006047E7"/>
    <w:rsid w:val="0060498B"/>
    <w:rsid w:val="00604C07"/>
    <w:rsid w:val="00604C7A"/>
    <w:rsid w:val="00604C8C"/>
    <w:rsid w:val="006051FC"/>
    <w:rsid w:val="0060537A"/>
    <w:rsid w:val="00605522"/>
    <w:rsid w:val="0060557C"/>
    <w:rsid w:val="00605735"/>
    <w:rsid w:val="006058D3"/>
    <w:rsid w:val="00605A37"/>
    <w:rsid w:val="00605B10"/>
    <w:rsid w:val="00605B69"/>
    <w:rsid w:val="006065F4"/>
    <w:rsid w:val="0060661B"/>
    <w:rsid w:val="0060675C"/>
    <w:rsid w:val="00606A24"/>
    <w:rsid w:val="00606A93"/>
    <w:rsid w:val="00606A9B"/>
    <w:rsid w:val="00606C14"/>
    <w:rsid w:val="00606DE1"/>
    <w:rsid w:val="00606FD8"/>
    <w:rsid w:val="00607291"/>
    <w:rsid w:val="00607737"/>
    <w:rsid w:val="00607829"/>
    <w:rsid w:val="00607BC8"/>
    <w:rsid w:val="00607C88"/>
    <w:rsid w:val="00607DC0"/>
    <w:rsid w:val="00607EAB"/>
    <w:rsid w:val="00607FDE"/>
    <w:rsid w:val="00607FF7"/>
    <w:rsid w:val="006100BB"/>
    <w:rsid w:val="0061023E"/>
    <w:rsid w:val="0061040C"/>
    <w:rsid w:val="006107DC"/>
    <w:rsid w:val="0061080F"/>
    <w:rsid w:val="00610873"/>
    <w:rsid w:val="0061093F"/>
    <w:rsid w:val="00610CE3"/>
    <w:rsid w:val="00610DC9"/>
    <w:rsid w:val="00610E85"/>
    <w:rsid w:val="00611023"/>
    <w:rsid w:val="006110CB"/>
    <w:rsid w:val="006112B2"/>
    <w:rsid w:val="006112F2"/>
    <w:rsid w:val="006118F9"/>
    <w:rsid w:val="006118FD"/>
    <w:rsid w:val="006119C6"/>
    <w:rsid w:val="00611BB6"/>
    <w:rsid w:val="00611BEF"/>
    <w:rsid w:val="00611CC0"/>
    <w:rsid w:val="00612452"/>
    <w:rsid w:val="0061266F"/>
    <w:rsid w:val="00612F22"/>
    <w:rsid w:val="00612F50"/>
    <w:rsid w:val="00613025"/>
    <w:rsid w:val="006131D3"/>
    <w:rsid w:val="00613218"/>
    <w:rsid w:val="006133DF"/>
    <w:rsid w:val="00613441"/>
    <w:rsid w:val="0061346D"/>
    <w:rsid w:val="0061358B"/>
    <w:rsid w:val="0061370A"/>
    <w:rsid w:val="00613858"/>
    <w:rsid w:val="00613A89"/>
    <w:rsid w:val="00613CD1"/>
    <w:rsid w:val="00613FC8"/>
    <w:rsid w:val="00614158"/>
    <w:rsid w:val="00614176"/>
    <w:rsid w:val="006141C4"/>
    <w:rsid w:val="00614265"/>
    <w:rsid w:val="00614765"/>
    <w:rsid w:val="006149B8"/>
    <w:rsid w:val="006149F1"/>
    <w:rsid w:val="00614BCA"/>
    <w:rsid w:val="00614CC0"/>
    <w:rsid w:val="00614E97"/>
    <w:rsid w:val="00614FD2"/>
    <w:rsid w:val="00615330"/>
    <w:rsid w:val="0061534F"/>
    <w:rsid w:val="00615372"/>
    <w:rsid w:val="00615544"/>
    <w:rsid w:val="006156E3"/>
    <w:rsid w:val="00615830"/>
    <w:rsid w:val="00615A33"/>
    <w:rsid w:val="00615AA3"/>
    <w:rsid w:val="00615C09"/>
    <w:rsid w:val="00615D3A"/>
    <w:rsid w:val="00615FE0"/>
    <w:rsid w:val="00616029"/>
    <w:rsid w:val="00616063"/>
    <w:rsid w:val="006161E7"/>
    <w:rsid w:val="00616209"/>
    <w:rsid w:val="0061637C"/>
    <w:rsid w:val="00616446"/>
    <w:rsid w:val="0061652D"/>
    <w:rsid w:val="006165CD"/>
    <w:rsid w:val="00616879"/>
    <w:rsid w:val="006169B9"/>
    <w:rsid w:val="006169CB"/>
    <w:rsid w:val="00616A27"/>
    <w:rsid w:val="00616A59"/>
    <w:rsid w:val="00616AFF"/>
    <w:rsid w:val="00616BEB"/>
    <w:rsid w:val="00616D2F"/>
    <w:rsid w:val="00616EEB"/>
    <w:rsid w:val="006171B3"/>
    <w:rsid w:val="0061722B"/>
    <w:rsid w:val="006173A5"/>
    <w:rsid w:val="006174C8"/>
    <w:rsid w:val="006175BD"/>
    <w:rsid w:val="006176BF"/>
    <w:rsid w:val="006178A9"/>
    <w:rsid w:val="00617986"/>
    <w:rsid w:val="006179D4"/>
    <w:rsid w:val="00617A1A"/>
    <w:rsid w:val="00617E16"/>
    <w:rsid w:val="00617EDE"/>
    <w:rsid w:val="00617EF3"/>
    <w:rsid w:val="00620083"/>
    <w:rsid w:val="00620134"/>
    <w:rsid w:val="00620982"/>
    <w:rsid w:val="00620990"/>
    <w:rsid w:val="00620A34"/>
    <w:rsid w:val="00620B5A"/>
    <w:rsid w:val="00620C90"/>
    <w:rsid w:val="00620CBE"/>
    <w:rsid w:val="00620D8E"/>
    <w:rsid w:val="00620E62"/>
    <w:rsid w:val="00620EC6"/>
    <w:rsid w:val="0062129C"/>
    <w:rsid w:val="00621353"/>
    <w:rsid w:val="00621662"/>
    <w:rsid w:val="0062199B"/>
    <w:rsid w:val="00621A22"/>
    <w:rsid w:val="00621D60"/>
    <w:rsid w:val="0062204F"/>
    <w:rsid w:val="0062206A"/>
    <w:rsid w:val="006220AE"/>
    <w:rsid w:val="006220B1"/>
    <w:rsid w:val="006221A3"/>
    <w:rsid w:val="00622266"/>
    <w:rsid w:val="00622298"/>
    <w:rsid w:val="00622431"/>
    <w:rsid w:val="00622578"/>
    <w:rsid w:val="00622649"/>
    <w:rsid w:val="00622752"/>
    <w:rsid w:val="00622785"/>
    <w:rsid w:val="0062287C"/>
    <w:rsid w:val="00622923"/>
    <w:rsid w:val="0062292C"/>
    <w:rsid w:val="00622C97"/>
    <w:rsid w:val="00622DF3"/>
    <w:rsid w:val="00623015"/>
    <w:rsid w:val="0062301C"/>
    <w:rsid w:val="006231D3"/>
    <w:rsid w:val="006231DA"/>
    <w:rsid w:val="006233B8"/>
    <w:rsid w:val="00623478"/>
    <w:rsid w:val="006234AE"/>
    <w:rsid w:val="00623766"/>
    <w:rsid w:val="006238A5"/>
    <w:rsid w:val="006238AC"/>
    <w:rsid w:val="00623AD6"/>
    <w:rsid w:val="00623AE3"/>
    <w:rsid w:val="00623B15"/>
    <w:rsid w:val="00623B93"/>
    <w:rsid w:val="00623CD7"/>
    <w:rsid w:val="00623D71"/>
    <w:rsid w:val="00624297"/>
    <w:rsid w:val="006242B7"/>
    <w:rsid w:val="00624474"/>
    <w:rsid w:val="0062468C"/>
    <w:rsid w:val="006248AD"/>
    <w:rsid w:val="00624D0F"/>
    <w:rsid w:val="00624F16"/>
    <w:rsid w:val="006252BE"/>
    <w:rsid w:val="0062532F"/>
    <w:rsid w:val="006253F9"/>
    <w:rsid w:val="00625632"/>
    <w:rsid w:val="00625668"/>
    <w:rsid w:val="006259FB"/>
    <w:rsid w:val="00625A2D"/>
    <w:rsid w:val="00625A78"/>
    <w:rsid w:val="00625CF5"/>
    <w:rsid w:val="00625DC9"/>
    <w:rsid w:val="00625F4B"/>
    <w:rsid w:val="00626233"/>
    <w:rsid w:val="00626248"/>
    <w:rsid w:val="0062624B"/>
    <w:rsid w:val="0062626D"/>
    <w:rsid w:val="006263C3"/>
    <w:rsid w:val="00626412"/>
    <w:rsid w:val="006269B7"/>
    <w:rsid w:val="00626B29"/>
    <w:rsid w:val="00626B9B"/>
    <w:rsid w:val="00626D5B"/>
    <w:rsid w:val="00626DBE"/>
    <w:rsid w:val="00626FDD"/>
    <w:rsid w:val="0062714F"/>
    <w:rsid w:val="00627154"/>
    <w:rsid w:val="00627218"/>
    <w:rsid w:val="0062721C"/>
    <w:rsid w:val="00627382"/>
    <w:rsid w:val="00627C51"/>
    <w:rsid w:val="00627C57"/>
    <w:rsid w:val="00627CF2"/>
    <w:rsid w:val="006300BA"/>
    <w:rsid w:val="006301C0"/>
    <w:rsid w:val="0063021D"/>
    <w:rsid w:val="006306A9"/>
    <w:rsid w:val="00630784"/>
    <w:rsid w:val="0063085A"/>
    <w:rsid w:val="0063087D"/>
    <w:rsid w:val="006309D3"/>
    <w:rsid w:val="00630C95"/>
    <w:rsid w:val="00630D7E"/>
    <w:rsid w:val="00630EB3"/>
    <w:rsid w:val="0063100F"/>
    <w:rsid w:val="0063121F"/>
    <w:rsid w:val="0063124A"/>
    <w:rsid w:val="006314E5"/>
    <w:rsid w:val="0063151D"/>
    <w:rsid w:val="00631629"/>
    <w:rsid w:val="00631745"/>
    <w:rsid w:val="00631C3A"/>
    <w:rsid w:val="00631C87"/>
    <w:rsid w:val="00631D3A"/>
    <w:rsid w:val="00632201"/>
    <w:rsid w:val="0063234B"/>
    <w:rsid w:val="006323DF"/>
    <w:rsid w:val="00632461"/>
    <w:rsid w:val="00632793"/>
    <w:rsid w:val="006328C4"/>
    <w:rsid w:val="00632913"/>
    <w:rsid w:val="006329EB"/>
    <w:rsid w:val="006330F3"/>
    <w:rsid w:val="006332A1"/>
    <w:rsid w:val="0063335B"/>
    <w:rsid w:val="00633365"/>
    <w:rsid w:val="00633628"/>
    <w:rsid w:val="006336EB"/>
    <w:rsid w:val="006339D9"/>
    <w:rsid w:val="006339F0"/>
    <w:rsid w:val="00633ACC"/>
    <w:rsid w:val="00633C57"/>
    <w:rsid w:val="00633C60"/>
    <w:rsid w:val="00633C61"/>
    <w:rsid w:val="00633D34"/>
    <w:rsid w:val="00633DF9"/>
    <w:rsid w:val="00633E29"/>
    <w:rsid w:val="00633E48"/>
    <w:rsid w:val="00634162"/>
    <w:rsid w:val="00634484"/>
    <w:rsid w:val="0063474D"/>
    <w:rsid w:val="00634992"/>
    <w:rsid w:val="00634AEC"/>
    <w:rsid w:val="00634BD5"/>
    <w:rsid w:val="006351B7"/>
    <w:rsid w:val="0063553E"/>
    <w:rsid w:val="00635562"/>
    <w:rsid w:val="0063563A"/>
    <w:rsid w:val="0063581A"/>
    <w:rsid w:val="00635854"/>
    <w:rsid w:val="006358B0"/>
    <w:rsid w:val="00635AE4"/>
    <w:rsid w:val="00635B54"/>
    <w:rsid w:val="006361D6"/>
    <w:rsid w:val="006361DB"/>
    <w:rsid w:val="0063645F"/>
    <w:rsid w:val="006364D4"/>
    <w:rsid w:val="00636AC6"/>
    <w:rsid w:val="00636B42"/>
    <w:rsid w:val="00636E3A"/>
    <w:rsid w:val="0063715D"/>
    <w:rsid w:val="006371F4"/>
    <w:rsid w:val="006372C6"/>
    <w:rsid w:val="0063751B"/>
    <w:rsid w:val="00637682"/>
    <w:rsid w:val="00637782"/>
    <w:rsid w:val="00637855"/>
    <w:rsid w:val="00637A6B"/>
    <w:rsid w:val="00637AC6"/>
    <w:rsid w:val="00637B2A"/>
    <w:rsid w:val="00637CE8"/>
    <w:rsid w:val="00637EEF"/>
    <w:rsid w:val="0064014B"/>
    <w:rsid w:val="00640263"/>
    <w:rsid w:val="00640379"/>
    <w:rsid w:val="006405E3"/>
    <w:rsid w:val="0064069C"/>
    <w:rsid w:val="00640768"/>
    <w:rsid w:val="006409F6"/>
    <w:rsid w:val="00640AB9"/>
    <w:rsid w:val="00640EF2"/>
    <w:rsid w:val="00641096"/>
    <w:rsid w:val="006410E2"/>
    <w:rsid w:val="00641203"/>
    <w:rsid w:val="0064120A"/>
    <w:rsid w:val="0064120E"/>
    <w:rsid w:val="00641589"/>
    <w:rsid w:val="00641676"/>
    <w:rsid w:val="006416E9"/>
    <w:rsid w:val="006417B3"/>
    <w:rsid w:val="006417CF"/>
    <w:rsid w:val="006418DD"/>
    <w:rsid w:val="00641973"/>
    <w:rsid w:val="00641C82"/>
    <w:rsid w:val="00641E9D"/>
    <w:rsid w:val="00641F68"/>
    <w:rsid w:val="00642070"/>
    <w:rsid w:val="0064212E"/>
    <w:rsid w:val="0064241A"/>
    <w:rsid w:val="00642463"/>
    <w:rsid w:val="00642714"/>
    <w:rsid w:val="006428C9"/>
    <w:rsid w:val="00642951"/>
    <w:rsid w:val="00642C74"/>
    <w:rsid w:val="00642ECD"/>
    <w:rsid w:val="00643022"/>
    <w:rsid w:val="0064302E"/>
    <w:rsid w:val="00643058"/>
    <w:rsid w:val="006433A1"/>
    <w:rsid w:val="00643444"/>
    <w:rsid w:val="00643597"/>
    <w:rsid w:val="0064360A"/>
    <w:rsid w:val="006436E4"/>
    <w:rsid w:val="006437BA"/>
    <w:rsid w:val="0064391A"/>
    <w:rsid w:val="00643C1E"/>
    <w:rsid w:val="00643C6C"/>
    <w:rsid w:val="00643D0F"/>
    <w:rsid w:val="00643E7A"/>
    <w:rsid w:val="00643EE2"/>
    <w:rsid w:val="00644643"/>
    <w:rsid w:val="006446E3"/>
    <w:rsid w:val="00644D87"/>
    <w:rsid w:val="00644DC1"/>
    <w:rsid w:val="00644EF3"/>
    <w:rsid w:val="00645316"/>
    <w:rsid w:val="00645342"/>
    <w:rsid w:val="006453D8"/>
    <w:rsid w:val="0064584D"/>
    <w:rsid w:val="006459B3"/>
    <w:rsid w:val="00645A48"/>
    <w:rsid w:val="00645AEB"/>
    <w:rsid w:val="00645D5A"/>
    <w:rsid w:val="00645E71"/>
    <w:rsid w:val="00645F55"/>
    <w:rsid w:val="006460C2"/>
    <w:rsid w:val="00646388"/>
    <w:rsid w:val="006465A0"/>
    <w:rsid w:val="006466B2"/>
    <w:rsid w:val="00646804"/>
    <w:rsid w:val="0064684F"/>
    <w:rsid w:val="0064685C"/>
    <w:rsid w:val="00646AC6"/>
    <w:rsid w:val="00646B54"/>
    <w:rsid w:val="00646D08"/>
    <w:rsid w:val="00646D22"/>
    <w:rsid w:val="00646EA9"/>
    <w:rsid w:val="00647090"/>
    <w:rsid w:val="006475BA"/>
    <w:rsid w:val="00647898"/>
    <w:rsid w:val="00647D06"/>
    <w:rsid w:val="00647EBC"/>
    <w:rsid w:val="00650015"/>
    <w:rsid w:val="006502E3"/>
    <w:rsid w:val="0065036A"/>
    <w:rsid w:val="006503A8"/>
    <w:rsid w:val="006504E5"/>
    <w:rsid w:val="0065080F"/>
    <w:rsid w:val="0065093E"/>
    <w:rsid w:val="0065097C"/>
    <w:rsid w:val="006509D4"/>
    <w:rsid w:val="00651303"/>
    <w:rsid w:val="00651695"/>
    <w:rsid w:val="006518C2"/>
    <w:rsid w:val="00651928"/>
    <w:rsid w:val="0065196E"/>
    <w:rsid w:val="00651974"/>
    <w:rsid w:val="00651ADE"/>
    <w:rsid w:val="00651BEE"/>
    <w:rsid w:val="00651D8D"/>
    <w:rsid w:val="00651DCC"/>
    <w:rsid w:val="00651DEA"/>
    <w:rsid w:val="00652407"/>
    <w:rsid w:val="00652481"/>
    <w:rsid w:val="006524C2"/>
    <w:rsid w:val="0065254D"/>
    <w:rsid w:val="00652749"/>
    <w:rsid w:val="0065288B"/>
    <w:rsid w:val="006528CF"/>
    <w:rsid w:val="006529DF"/>
    <w:rsid w:val="00652B10"/>
    <w:rsid w:val="00652CD3"/>
    <w:rsid w:val="00652CDC"/>
    <w:rsid w:val="0065336A"/>
    <w:rsid w:val="00653698"/>
    <w:rsid w:val="00653726"/>
    <w:rsid w:val="00653736"/>
    <w:rsid w:val="00653845"/>
    <w:rsid w:val="006539E5"/>
    <w:rsid w:val="00653A23"/>
    <w:rsid w:val="00653BB9"/>
    <w:rsid w:val="00653D05"/>
    <w:rsid w:val="00653D44"/>
    <w:rsid w:val="00653D5A"/>
    <w:rsid w:val="00653DBF"/>
    <w:rsid w:val="00653DD8"/>
    <w:rsid w:val="00654290"/>
    <w:rsid w:val="00654388"/>
    <w:rsid w:val="0065438C"/>
    <w:rsid w:val="00654435"/>
    <w:rsid w:val="006544EA"/>
    <w:rsid w:val="006549B8"/>
    <w:rsid w:val="00654B2F"/>
    <w:rsid w:val="00654B58"/>
    <w:rsid w:val="00654CAE"/>
    <w:rsid w:val="00654DE5"/>
    <w:rsid w:val="00654FE0"/>
    <w:rsid w:val="00655312"/>
    <w:rsid w:val="0065536E"/>
    <w:rsid w:val="006553A1"/>
    <w:rsid w:val="006553FA"/>
    <w:rsid w:val="0065541F"/>
    <w:rsid w:val="00655466"/>
    <w:rsid w:val="006557B0"/>
    <w:rsid w:val="00655857"/>
    <w:rsid w:val="00655880"/>
    <w:rsid w:val="00655A0C"/>
    <w:rsid w:val="00655AA1"/>
    <w:rsid w:val="00655B37"/>
    <w:rsid w:val="00655B68"/>
    <w:rsid w:val="00655C8E"/>
    <w:rsid w:val="00655CE0"/>
    <w:rsid w:val="006560DA"/>
    <w:rsid w:val="0065624E"/>
    <w:rsid w:val="006562E7"/>
    <w:rsid w:val="00656808"/>
    <w:rsid w:val="0065683C"/>
    <w:rsid w:val="00656898"/>
    <w:rsid w:val="00656A49"/>
    <w:rsid w:val="00656B0A"/>
    <w:rsid w:val="00656CAB"/>
    <w:rsid w:val="00657041"/>
    <w:rsid w:val="00657044"/>
    <w:rsid w:val="0065708E"/>
    <w:rsid w:val="006577E3"/>
    <w:rsid w:val="00657B5C"/>
    <w:rsid w:val="00657CD8"/>
    <w:rsid w:val="0066006F"/>
    <w:rsid w:val="006601F5"/>
    <w:rsid w:val="00660243"/>
    <w:rsid w:val="006602A7"/>
    <w:rsid w:val="0066032A"/>
    <w:rsid w:val="0066054E"/>
    <w:rsid w:val="00660595"/>
    <w:rsid w:val="0066068B"/>
    <w:rsid w:val="0066076C"/>
    <w:rsid w:val="006608CB"/>
    <w:rsid w:val="00660A28"/>
    <w:rsid w:val="00660A4A"/>
    <w:rsid w:val="00660F2E"/>
    <w:rsid w:val="0066118C"/>
    <w:rsid w:val="0066122A"/>
    <w:rsid w:val="006612CE"/>
    <w:rsid w:val="006614D9"/>
    <w:rsid w:val="006614E4"/>
    <w:rsid w:val="00661558"/>
    <w:rsid w:val="006615D1"/>
    <w:rsid w:val="00661662"/>
    <w:rsid w:val="0066167D"/>
    <w:rsid w:val="00661AEE"/>
    <w:rsid w:val="00661B2C"/>
    <w:rsid w:val="00661FE5"/>
    <w:rsid w:val="006623A3"/>
    <w:rsid w:val="0066245F"/>
    <w:rsid w:val="00662522"/>
    <w:rsid w:val="006629C9"/>
    <w:rsid w:val="00662D27"/>
    <w:rsid w:val="00662D82"/>
    <w:rsid w:val="00662D9B"/>
    <w:rsid w:val="006630DA"/>
    <w:rsid w:val="006631A5"/>
    <w:rsid w:val="00663277"/>
    <w:rsid w:val="006632AE"/>
    <w:rsid w:val="00663992"/>
    <w:rsid w:val="00663AB4"/>
    <w:rsid w:val="00663C1B"/>
    <w:rsid w:val="00663CC7"/>
    <w:rsid w:val="00663D29"/>
    <w:rsid w:val="00663FE1"/>
    <w:rsid w:val="006640A6"/>
    <w:rsid w:val="006640C8"/>
    <w:rsid w:val="006642B2"/>
    <w:rsid w:val="006649C6"/>
    <w:rsid w:val="00664A79"/>
    <w:rsid w:val="00664C2B"/>
    <w:rsid w:val="00664CD6"/>
    <w:rsid w:val="00664D32"/>
    <w:rsid w:val="00664DDC"/>
    <w:rsid w:val="00665025"/>
    <w:rsid w:val="00665082"/>
    <w:rsid w:val="00665240"/>
    <w:rsid w:val="006652CD"/>
    <w:rsid w:val="006653EE"/>
    <w:rsid w:val="00665402"/>
    <w:rsid w:val="006654FA"/>
    <w:rsid w:val="00665614"/>
    <w:rsid w:val="00665766"/>
    <w:rsid w:val="00665A81"/>
    <w:rsid w:val="00665AF8"/>
    <w:rsid w:val="00665AFB"/>
    <w:rsid w:val="00665C2E"/>
    <w:rsid w:val="00665CF0"/>
    <w:rsid w:val="00665DF2"/>
    <w:rsid w:val="00665ECB"/>
    <w:rsid w:val="00666148"/>
    <w:rsid w:val="00666559"/>
    <w:rsid w:val="006666F9"/>
    <w:rsid w:val="00666763"/>
    <w:rsid w:val="00666857"/>
    <w:rsid w:val="006668DE"/>
    <w:rsid w:val="00666913"/>
    <w:rsid w:val="006669DE"/>
    <w:rsid w:val="00666B07"/>
    <w:rsid w:val="00666C38"/>
    <w:rsid w:val="00667010"/>
    <w:rsid w:val="00667163"/>
    <w:rsid w:val="006672D4"/>
    <w:rsid w:val="00667322"/>
    <w:rsid w:val="00667325"/>
    <w:rsid w:val="00667377"/>
    <w:rsid w:val="006674CA"/>
    <w:rsid w:val="00667506"/>
    <w:rsid w:val="00667585"/>
    <w:rsid w:val="0066758F"/>
    <w:rsid w:val="006675F3"/>
    <w:rsid w:val="006675FD"/>
    <w:rsid w:val="006677C6"/>
    <w:rsid w:val="00667A6F"/>
    <w:rsid w:val="00667B28"/>
    <w:rsid w:val="00667D26"/>
    <w:rsid w:val="00667D41"/>
    <w:rsid w:val="00667E47"/>
    <w:rsid w:val="0067002D"/>
    <w:rsid w:val="006707B3"/>
    <w:rsid w:val="00670837"/>
    <w:rsid w:val="00670C75"/>
    <w:rsid w:val="00670E82"/>
    <w:rsid w:val="00670FEF"/>
    <w:rsid w:val="00671275"/>
    <w:rsid w:val="00671674"/>
    <w:rsid w:val="0067178E"/>
    <w:rsid w:val="00671836"/>
    <w:rsid w:val="00671945"/>
    <w:rsid w:val="006719A2"/>
    <w:rsid w:val="00671AD7"/>
    <w:rsid w:val="00671CFC"/>
    <w:rsid w:val="006720F0"/>
    <w:rsid w:val="00672112"/>
    <w:rsid w:val="00672610"/>
    <w:rsid w:val="006727DB"/>
    <w:rsid w:val="0067284F"/>
    <w:rsid w:val="0067299B"/>
    <w:rsid w:val="00672A1B"/>
    <w:rsid w:val="00672BB3"/>
    <w:rsid w:val="00672D35"/>
    <w:rsid w:val="00672DB3"/>
    <w:rsid w:val="00673582"/>
    <w:rsid w:val="006736FC"/>
    <w:rsid w:val="00673760"/>
    <w:rsid w:val="00673A0C"/>
    <w:rsid w:val="00673B1B"/>
    <w:rsid w:val="00673CC9"/>
    <w:rsid w:val="00673D9E"/>
    <w:rsid w:val="00673EEA"/>
    <w:rsid w:val="00674149"/>
    <w:rsid w:val="00674162"/>
    <w:rsid w:val="00674235"/>
    <w:rsid w:val="006744E8"/>
    <w:rsid w:val="006746AD"/>
    <w:rsid w:val="00674B13"/>
    <w:rsid w:val="00674BC4"/>
    <w:rsid w:val="0067517F"/>
    <w:rsid w:val="006751AB"/>
    <w:rsid w:val="006755A5"/>
    <w:rsid w:val="00675909"/>
    <w:rsid w:val="0067597D"/>
    <w:rsid w:val="00675A51"/>
    <w:rsid w:val="00675A6F"/>
    <w:rsid w:val="00675AB4"/>
    <w:rsid w:val="0067645C"/>
    <w:rsid w:val="006765F1"/>
    <w:rsid w:val="00676634"/>
    <w:rsid w:val="00676683"/>
    <w:rsid w:val="006766D3"/>
    <w:rsid w:val="006768F9"/>
    <w:rsid w:val="006768FF"/>
    <w:rsid w:val="00676AB4"/>
    <w:rsid w:val="00676D21"/>
    <w:rsid w:val="00676E12"/>
    <w:rsid w:val="00676E17"/>
    <w:rsid w:val="00676F26"/>
    <w:rsid w:val="00676FB8"/>
    <w:rsid w:val="00677061"/>
    <w:rsid w:val="0067707A"/>
    <w:rsid w:val="00677086"/>
    <w:rsid w:val="00677172"/>
    <w:rsid w:val="0067724B"/>
    <w:rsid w:val="00677265"/>
    <w:rsid w:val="006772F4"/>
    <w:rsid w:val="006775CD"/>
    <w:rsid w:val="00677631"/>
    <w:rsid w:val="006776F0"/>
    <w:rsid w:val="00677756"/>
    <w:rsid w:val="0067779A"/>
    <w:rsid w:val="006777E2"/>
    <w:rsid w:val="00677804"/>
    <w:rsid w:val="00677AB7"/>
    <w:rsid w:val="00677F67"/>
    <w:rsid w:val="00680276"/>
    <w:rsid w:val="006803AD"/>
    <w:rsid w:val="006803DB"/>
    <w:rsid w:val="006803FD"/>
    <w:rsid w:val="00680426"/>
    <w:rsid w:val="006806A8"/>
    <w:rsid w:val="0068073D"/>
    <w:rsid w:val="00680839"/>
    <w:rsid w:val="006809F0"/>
    <w:rsid w:val="00680C10"/>
    <w:rsid w:val="00680C73"/>
    <w:rsid w:val="00680C8E"/>
    <w:rsid w:val="00680DB3"/>
    <w:rsid w:val="00680E0D"/>
    <w:rsid w:val="00680EB6"/>
    <w:rsid w:val="00681034"/>
    <w:rsid w:val="0068135E"/>
    <w:rsid w:val="006814C6"/>
    <w:rsid w:val="00681661"/>
    <w:rsid w:val="006816EF"/>
    <w:rsid w:val="0068178B"/>
    <w:rsid w:val="006819AF"/>
    <w:rsid w:val="00681C7B"/>
    <w:rsid w:val="00681D2F"/>
    <w:rsid w:val="00681D6C"/>
    <w:rsid w:val="00682322"/>
    <w:rsid w:val="0068251D"/>
    <w:rsid w:val="00682788"/>
    <w:rsid w:val="00682815"/>
    <w:rsid w:val="00682852"/>
    <w:rsid w:val="00682884"/>
    <w:rsid w:val="0068299D"/>
    <w:rsid w:val="00682C2E"/>
    <w:rsid w:val="00682D02"/>
    <w:rsid w:val="00682DC5"/>
    <w:rsid w:val="00682EA2"/>
    <w:rsid w:val="00682ED1"/>
    <w:rsid w:val="00682FE9"/>
    <w:rsid w:val="006830A6"/>
    <w:rsid w:val="006831A9"/>
    <w:rsid w:val="00683412"/>
    <w:rsid w:val="00683479"/>
    <w:rsid w:val="006834F5"/>
    <w:rsid w:val="006839F9"/>
    <w:rsid w:val="00683BD6"/>
    <w:rsid w:val="00683BD7"/>
    <w:rsid w:val="00683C6B"/>
    <w:rsid w:val="00683E57"/>
    <w:rsid w:val="006843E5"/>
    <w:rsid w:val="00684608"/>
    <w:rsid w:val="006846F9"/>
    <w:rsid w:val="0068482C"/>
    <w:rsid w:val="00684A26"/>
    <w:rsid w:val="00684A61"/>
    <w:rsid w:val="00684D0B"/>
    <w:rsid w:val="00684D47"/>
    <w:rsid w:val="00684E5B"/>
    <w:rsid w:val="00684EC3"/>
    <w:rsid w:val="00684F57"/>
    <w:rsid w:val="00684FF4"/>
    <w:rsid w:val="0068500D"/>
    <w:rsid w:val="0068504C"/>
    <w:rsid w:val="0068504F"/>
    <w:rsid w:val="00685116"/>
    <w:rsid w:val="00685147"/>
    <w:rsid w:val="006853B1"/>
    <w:rsid w:val="006856FA"/>
    <w:rsid w:val="0068573B"/>
    <w:rsid w:val="0068589F"/>
    <w:rsid w:val="006858B9"/>
    <w:rsid w:val="00685E0E"/>
    <w:rsid w:val="006860A3"/>
    <w:rsid w:val="006860CA"/>
    <w:rsid w:val="0068622E"/>
    <w:rsid w:val="006865A5"/>
    <w:rsid w:val="00686753"/>
    <w:rsid w:val="006867C6"/>
    <w:rsid w:val="00686829"/>
    <w:rsid w:val="006869CE"/>
    <w:rsid w:val="00686D21"/>
    <w:rsid w:val="00686D37"/>
    <w:rsid w:val="00686DA3"/>
    <w:rsid w:val="00686F42"/>
    <w:rsid w:val="00687021"/>
    <w:rsid w:val="00687025"/>
    <w:rsid w:val="006870E2"/>
    <w:rsid w:val="006872C0"/>
    <w:rsid w:val="00687543"/>
    <w:rsid w:val="006875F6"/>
    <w:rsid w:val="0068765F"/>
    <w:rsid w:val="006878E4"/>
    <w:rsid w:val="00687A4A"/>
    <w:rsid w:val="00687AA5"/>
    <w:rsid w:val="00687BEB"/>
    <w:rsid w:val="00687C04"/>
    <w:rsid w:val="00687C71"/>
    <w:rsid w:val="00688AF9"/>
    <w:rsid w:val="00690313"/>
    <w:rsid w:val="00690665"/>
    <w:rsid w:val="0069080B"/>
    <w:rsid w:val="00690917"/>
    <w:rsid w:val="006909A0"/>
    <w:rsid w:val="00690B2B"/>
    <w:rsid w:val="00690C5A"/>
    <w:rsid w:val="00690E89"/>
    <w:rsid w:val="00690ED1"/>
    <w:rsid w:val="00691062"/>
    <w:rsid w:val="006910B3"/>
    <w:rsid w:val="00691439"/>
    <w:rsid w:val="006914F3"/>
    <w:rsid w:val="0069168D"/>
    <w:rsid w:val="00691914"/>
    <w:rsid w:val="006919B7"/>
    <w:rsid w:val="00691A6E"/>
    <w:rsid w:val="00691ADB"/>
    <w:rsid w:val="00691DAA"/>
    <w:rsid w:val="00692230"/>
    <w:rsid w:val="006922B6"/>
    <w:rsid w:val="006922BD"/>
    <w:rsid w:val="006922F0"/>
    <w:rsid w:val="0069239D"/>
    <w:rsid w:val="006923FE"/>
    <w:rsid w:val="006925E7"/>
    <w:rsid w:val="00692988"/>
    <w:rsid w:val="00692C61"/>
    <w:rsid w:val="00692CF4"/>
    <w:rsid w:val="00692D2C"/>
    <w:rsid w:val="00692FE4"/>
    <w:rsid w:val="006930DB"/>
    <w:rsid w:val="006931D1"/>
    <w:rsid w:val="0069322E"/>
    <w:rsid w:val="00693491"/>
    <w:rsid w:val="006935BC"/>
    <w:rsid w:val="00693A46"/>
    <w:rsid w:val="00693A52"/>
    <w:rsid w:val="00693CE8"/>
    <w:rsid w:val="00693D5D"/>
    <w:rsid w:val="00693F94"/>
    <w:rsid w:val="0069417F"/>
    <w:rsid w:val="0069418F"/>
    <w:rsid w:val="006945F8"/>
    <w:rsid w:val="0069464A"/>
    <w:rsid w:val="006947C0"/>
    <w:rsid w:val="006948EC"/>
    <w:rsid w:val="00695163"/>
    <w:rsid w:val="0069522B"/>
    <w:rsid w:val="0069524F"/>
    <w:rsid w:val="00695341"/>
    <w:rsid w:val="00695410"/>
    <w:rsid w:val="00695575"/>
    <w:rsid w:val="006955F4"/>
    <w:rsid w:val="006956E8"/>
    <w:rsid w:val="006957FB"/>
    <w:rsid w:val="00695817"/>
    <w:rsid w:val="00695969"/>
    <w:rsid w:val="0069597D"/>
    <w:rsid w:val="00695B30"/>
    <w:rsid w:val="00695BB2"/>
    <w:rsid w:val="00695BEA"/>
    <w:rsid w:val="00695E7B"/>
    <w:rsid w:val="00696149"/>
    <w:rsid w:val="00696328"/>
    <w:rsid w:val="0069637C"/>
    <w:rsid w:val="006963DC"/>
    <w:rsid w:val="00696799"/>
    <w:rsid w:val="0069679E"/>
    <w:rsid w:val="00696844"/>
    <w:rsid w:val="006968C5"/>
    <w:rsid w:val="00696A01"/>
    <w:rsid w:val="00696AA8"/>
    <w:rsid w:val="00696C14"/>
    <w:rsid w:val="00696C2C"/>
    <w:rsid w:val="00696D32"/>
    <w:rsid w:val="00696EDE"/>
    <w:rsid w:val="00697126"/>
    <w:rsid w:val="00697228"/>
    <w:rsid w:val="00697288"/>
    <w:rsid w:val="00697493"/>
    <w:rsid w:val="00697593"/>
    <w:rsid w:val="006975C7"/>
    <w:rsid w:val="00697603"/>
    <w:rsid w:val="006976E4"/>
    <w:rsid w:val="006978F5"/>
    <w:rsid w:val="006979BA"/>
    <w:rsid w:val="00697B03"/>
    <w:rsid w:val="00697B2C"/>
    <w:rsid w:val="00697BF8"/>
    <w:rsid w:val="00697C4B"/>
    <w:rsid w:val="00697C5D"/>
    <w:rsid w:val="00697CF2"/>
    <w:rsid w:val="006A00D6"/>
    <w:rsid w:val="006A01DE"/>
    <w:rsid w:val="006A0281"/>
    <w:rsid w:val="006A04DB"/>
    <w:rsid w:val="006A0765"/>
    <w:rsid w:val="006A0A94"/>
    <w:rsid w:val="006A0B27"/>
    <w:rsid w:val="006A0B99"/>
    <w:rsid w:val="006A0E37"/>
    <w:rsid w:val="006A1007"/>
    <w:rsid w:val="006A135B"/>
    <w:rsid w:val="006A1406"/>
    <w:rsid w:val="006A1C4E"/>
    <w:rsid w:val="006A2296"/>
    <w:rsid w:val="006A24E8"/>
    <w:rsid w:val="006A2597"/>
    <w:rsid w:val="006A27D9"/>
    <w:rsid w:val="006A2A86"/>
    <w:rsid w:val="006A2AA8"/>
    <w:rsid w:val="006A2B86"/>
    <w:rsid w:val="006A2DF4"/>
    <w:rsid w:val="006A2EC3"/>
    <w:rsid w:val="006A2EC8"/>
    <w:rsid w:val="006A33B7"/>
    <w:rsid w:val="006A3476"/>
    <w:rsid w:val="006A3661"/>
    <w:rsid w:val="006A3671"/>
    <w:rsid w:val="006A36DF"/>
    <w:rsid w:val="006A3745"/>
    <w:rsid w:val="006A37C3"/>
    <w:rsid w:val="006A384C"/>
    <w:rsid w:val="006A38B2"/>
    <w:rsid w:val="006A3A2D"/>
    <w:rsid w:val="006A3AF1"/>
    <w:rsid w:val="006A3B72"/>
    <w:rsid w:val="006A3CA6"/>
    <w:rsid w:val="006A3CB1"/>
    <w:rsid w:val="006A3CE9"/>
    <w:rsid w:val="006A3DCD"/>
    <w:rsid w:val="006A410D"/>
    <w:rsid w:val="006A4146"/>
    <w:rsid w:val="006A4253"/>
    <w:rsid w:val="006A4317"/>
    <w:rsid w:val="006A448A"/>
    <w:rsid w:val="006A4594"/>
    <w:rsid w:val="006A45FC"/>
    <w:rsid w:val="006A4632"/>
    <w:rsid w:val="006A490B"/>
    <w:rsid w:val="006A4AAB"/>
    <w:rsid w:val="006A4CB4"/>
    <w:rsid w:val="006A4D3B"/>
    <w:rsid w:val="006A4E80"/>
    <w:rsid w:val="006A4EE6"/>
    <w:rsid w:val="006A50EF"/>
    <w:rsid w:val="006A50F0"/>
    <w:rsid w:val="006A51A6"/>
    <w:rsid w:val="006A536C"/>
    <w:rsid w:val="006A56C2"/>
    <w:rsid w:val="006A57A2"/>
    <w:rsid w:val="006A591A"/>
    <w:rsid w:val="006A5972"/>
    <w:rsid w:val="006A5A08"/>
    <w:rsid w:val="006A5DE6"/>
    <w:rsid w:val="006A5EFE"/>
    <w:rsid w:val="006A5FD8"/>
    <w:rsid w:val="006A622C"/>
    <w:rsid w:val="006A651D"/>
    <w:rsid w:val="006A659B"/>
    <w:rsid w:val="006A6655"/>
    <w:rsid w:val="006A665C"/>
    <w:rsid w:val="006A67D6"/>
    <w:rsid w:val="006A6887"/>
    <w:rsid w:val="006A6F65"/>
    <w:rsid w:val="006A6FC2"/>
    <w:rsid w:val="006A6FC5"/>
    <w:rsid w:val="006A7233"/>
    <w:rsid w:val="006A742E"/>
    <w:rsid w:val="006A74A4"/>
    <w:rsid w:val="006A770D"/>
    <w:rsid w:val="006A77EA"/>
    <w:rsid w:val="006A7835"/>
    <w:rsid w:val="006A7857"/>
    <w:rsid w:val="006A786C"/>
    <w:rsid w:val="006A7BA3"/>
    <w:rsid w:val="006A7C74"/>
    <w:rsid w:val="006A7DAC"/>
    <w:rsid w:val="006B02D5"/>
    <w:rsid w:val="006B03AA"/>
    <w:rsid w:val="006B0511"/>
    <w:rsid w:val="006B05F0"/>
    <w:rsid w:val="006B0622"/>
    <w:rsid w:val="006B0673"/>
    <w:rsid w:val="006B06D3"/>
    <w:rsid w:val="006B06ED"/>
    <w:rsid w:val="006B08D3"/>
    <w:rsid w:val="006B0D08"/>
    <w:rsid w:val="006B0EF4"/>
    <w:rsid w:val="006B13B7"/>
    <w:rsid w:val="006B1771"/>
    <w:rsid w:val="006B19C3"/>
    <w:rsid w:val="006B1AA2"/>
    <w:rsid w:val="006B1AD8"/>
    <w:rsid w:val="006B1E11"/>
    <w:rsid w:val="006B1FD8"/>
    <w:rsid w:val="006B2148"/>
    <w:rsid w:val="006B22A0"/>
    <w:rsid w:val="006B2357"/>
    <w:rsid w:val="006B245F"/>
    <w:rsid w:val="006B29C0"/>
    <w:rsid w:val="006B2B5A"/>
    <w:rsid w:val="006B2B88"/>
    <w:rsid w:val="006B2CAD"/>
    <w:rsid w:val="006B2CEC"/>
    <w:rsid w:val="006B2DE2"/>
    <w:rsid w:val="006B2EC3"/>
    <w:rsid w:val="006B2F1F"/>
    <w:rsid w:val="006B329B"/>
    <w:rsid w:val="006B32C2"/>
    <w:rsid w:val="006B3555"/>
    <w:rsid w:val="006B3667"/>
    <w:rsid w:val="006B366F"/>
    <w:rsid w:val="006B36C0"/>
    <w:rsid w:val="006B38B3"/>
    <w:rsid w:val="006B3959"/>
    <w:rsid w:val="006B39A8"/>
    <w:rsid w:val="006B39B2"/>
    <w:rsid w:val="006B3EE4"/>
    <w:rsid w:val="006B43AD"/>
    <w:rsid w:val="006B4554"/>
    <w:rsid w:val="006B458D"/>
    <w:rsid w:val="006B4733"/>
    <w:rsid w:val="006B481B"/>
    <w:rsid w:val="006B4885"/>
    <w:rsid w:val="006B4C04"/>
    <w:rsid w:val="006B4C07"/>
    <w:rsid w:val="006B4C2F"/>
    <w:rsid w:val="006B4CC5"/>
    <w:rsid w:val="006B4D7A"/>
    <w:rsid w:val="006B4E25"/>
    <w:rsid w:val="006B4E44"/>
    <w:rsid w:val="006B4E7A"/>
    <w:rsid w:val="006B50AA"/>
    <w:rsid w:val="006B54FA"/>
    <w:rsid w:val="006B5642"/>
    <w:rsid w:val="006B565F"/>
    <w:rsid w:val="006B57E3"/>
    <w:rsid w:val="006B5855"/>
    <w:rsid w:val="006B591B"/>
    <w:rsid w:val="006B5A45"/>
    <w:rsid w:val="006B5A9D"/>
    <w:rsid w:val="006B5A9E"/>
    <w:rsid w:val="006B5AE7"/>
    <w:rsid w:val="006B5C89"/>
    <w:rsid w:val="006B5EA3"/>
    <w:rsid w:val="006B5F99"/>
    <w:rsid w:val="006B61FD"/>
    <w:rsid w:val="006B637C"/>
    <w:rsid w:val="006B64C6"/>
    <w:rsid w:val="006B64F9"/>
    <w:rsid w:val="006B666A"/>
    <w:rsid w:val="006B67F8"/>
    <w:rsid w:val="006B6AA2"/>
    <w:rsid w:val="006B6C31"/>
    <w:rsid w:val="006B6CBA"/>
    <w:rsid w:val="006B6CEF"/>
    <w:rsid w:val="006B6F60"/>
    <w:rsid w:val="006B7262"/>
    <w:rsid w:val="006B74E4"/>
    <w:rsid w:val="006B7588"/>
    <w:rsid w:val="006B7A4F"/>
    <w:rsid w:val="006B7C26"/>
    <w:rsid w:val="006B7EED"/>
    <w:rsid w:val="006B7F60"/>
    <w:rsid w:val="006B7FEF"/>
    <w:rsid w:val="006C0043"/>
    <w:rsid w:val="006C0250"/>
    <w:rsid w:val="006C0299"/>
    <w:rsid w:val="006C0306"/>
    <w:rsid w:val="006C0585"/>
    <w:rsid w:val="006C0673"/>
    <w:rsid w:val="006C06E8"/>
    <w:rsid w:val="006C072C"/>
    <w:rsid w:val="006C0826"/>
    <w:rsid w:val="006C0B01"/>
    <w:rsid w:val="006C0CD6"/>
    <w:rsid w:val="006C0D2E"/>
    <w:rsid w:val="006C1020"/>
    <w:rsid w:val="006C1035"/>
    <w:rsid w:val="006C1074"/>
    <w:rsid w:val="006C1403"/>
    <w:rsid w:val="006C142C"/>
    <w:rsid w:val="006C150C"/>
    <w:rsid w:val="006C1922"/>
    <w:rsid w:val="006C1B04"/>
    <w:rsid w:val="006C1E1C"/>
    <w:rsid w:val="006C1E54"/>
    <w:rsid w:val="006C1EF3"/>
    <w:rsid w:val="006C1F75"/>
    <w:rsid w:val="006C2239"/>
    <w:rsid w:val="006C2374"/>
    <w:rsid w:val="006C23F9"/>
    <w:rsid w:val="006C288E"/>
    <w:rsid w:val="006C2BA7"/>
    <w:rsid w:val="006C2CD4"/>
    <w:rsid w:val="006C2D8A"/>
    <w:rsid w:val="006C2DB5"/>
    <w:rsid w:val="006C313D"/>
    <w:rsid w:val="006C3165"/>
    <w:rsid w:val="006C31A9"/>
    <w:rsid w:val="006C3334"/>
    <w:rsid w:val="006C3611"/>
    <w:rsid w:val="006C3AF5"/>
    <w:rsid w:val="006C3CAD"/>
    <w:rsid w:val="006C3EA0"/>
    <w:rsid w:val="006C4323"/>
    <w:rsid w:val="006C43EF"/>
    <w:rsid w:val="006C45C6"/>
    <w:rsid w:val="006C45FC"/>
    <w:rsid w:val="006C46CB"/>
    <w:rsid w:val="006C4A65"/>
    <w:rsid w:val="006C4BDF"/>
    <w:rsid w:val="006C4D0F"/>
    <w:rsid w:val="006C4D4D"/>
    <w:rsid w:val="006C4D66"/>
    <w:rsid w:val="006C52AB"/>
    <w:rsid w:val="006C533E"/>
    <w:rsid w:val="006C53BD"/>
    <w:rsid w:val="006C54C2"/>
    <w:rsid w:val="006C55BB"/>
    <w:rsid w:val="006C56B0"/>
    <w:rsid w:val="006C57A2"/>
    <w:rsid w:val="006C57AB"/>
    <w:rsid w:val="006C584B"/>
    <w:rsid w:val="006C58C3"/>
    <w:rsid w:val="006C590B"/>
    <w:rsid w:val="006C5B41"/>
    <w:rsid w:val="006C5B50"/>
    <w:rsid w:val="006C5DAF"/>
    <w:rsid w:val="006C5FDC"/>
    <w:rsid w:val="006C60D1"/>
    <w:rsid w:val="006C610D"/>
    <w:rsid w:val="006C625C"/>
    <w:rsid w:val="006C630F"/>
    <w:rsid w:val="006C648B"/>
    <w:rsid w:val="006C64EB"/>
    <w:rsid w:val="006C6731"/>
    <w:rsid w:val="006C6C52"/>
    <w:rsid w:val="006C6DCA"/>
    <w:rsid w:val="006C6E49"/>
    <w:rsid w:val="006C6F6E"/>
    <w:rsid w:val="006C7321"/>
    <w:rsid w:val="006C75DC"/>
    <w:rsid w:val="006C75EE"/>
    <w:rsid w:val="006C78C2"/>
    <w:rsid w:val="006C7DD6"/>
    <w:rsid w:val="006C7EBE"/>
    <w:rsid w:val="006C7F4A"/>
    <w:rsid w:val="006D03D8"/>
    <w:rsid w:val="006D041E"/>
    <w:rsid w:val="006D04A2"/>
    <w:rsid w:val="006D0579"/>
    <w:rsid w:val="006D068C"/>
    <w:rsid w:val="006D0906"/>
    <w:rsid w:val="006D0922"/>
    <w:rsid w:val="006D093A"/>
    <w:rsid w:val="006D0E85"/>
    <w:rsid w:val="006D0EF4"/>
    <w:rsid w:val="006D0F59"/>
    <w:rsid w:val="006D107F"/>
    <w:rsid w:val="006D10BA"/>
    <w:rsid w:val="006D1107"/>
    <w:rsid w:val="006D1525"/>
    <w:rsid w:val="006D1681"/>
    <w:rsid w:val="006D183C"/>
    <w:rsid w:val="006D1995"/>
    <w:rsid w:val="006D19EC"/>
    <w:rsid w:val="006D1A7B"/>
    <w:rsid w:val="006D1C13"/>
    <w:rsid w:val="006D1E50"/>
    <w:rsid w:val="006D1E59"/>
    <w:rsid w:val="006D1F1D"/>
    <w:rsid w:val="006D1F67"/>
    <w:rsid w:val="006D21FB"/>
    <w:rsid w:val="006D2289"/>
    <w:rsid w:val="006D26CA"/>
    <w:rsid w:val="006D283D"/>
    <w:rsid w:val="006D2901"/>
    <w:rsid w:val="006D2947"/>
    <w:rsid w:val="006D29BA"/>
    <w:rsid w:val="006D2C28"/>
    <w:rsid w:val="006D2C4B"/>
    <w:rsid w:val="006D2D37"/>
    <w:rsid w:val="006D2D70"/>
    <w:rsid w:val="006D2DE0"/>
    <w:rsid w:val="006D2FAD"/>
    <w:rsid w:val="006D30E3"/>
    <w:rsid w:val="006D345A"/>
    <w:rsid w:val="006D386F"/>
    <w:rsid w:val="006D389A"/>
    <w:rsid w:val="006D399D"/>
    <w:rsid w:val="006D3AF9"/>
    <w:rsid w:val="006D4183"/>
    <w:rsid w:val="006D4469"/>
    <w:rsid w:val="006D45BF"/>
    <w:rsid w:val="006D466A"/>
    <w:rsid w:val="006D46EA"/>
    <w:rsid w:val="006D4A93"/>
    <w:rsid w:val="006D4AE6"/>
    <w:rsid w:val="006D4B32"/>
    <w:rsid w:val="006D4D1A"/>
    <w:rsid w:val="006D4F24"/>
    <w:rsid w:val="006D526D"/>
    <w:rsid w:val="006D527A"/>
    <w:rsid w:val="006D527D"/>
    <w:rsid w:val="006D5311"/>
    <w:rsid w:val="006D5586"/>
    <w:rsid w:val="006D56FB"/>
    <w:rsid w:val="006D58EE"/>
    <w:rsid w:val="006D5A4F"/>
    <w:rsid w:val="006D5A7F"/>
    <w:rsid w:val="006D5AAF"/>
    <w:rsid w:val="006D5B2C"/>
    <w:rsid w:val="006D5C26"/>
    <w:rsid w:val="006D5C76"/>
    <w:rsid w:val="006D5D0C"/>
    <w:rsid w:val="006D5D10"/>
    <w:rsid w:val="006D5D1E"/>
    <w:rsid w:val="006D5D3B"/>
    <w:rsid w:val="006D5E5C"/>
    <w:rsid w:val="006D5E6C"/>
    <w:rsid w:val="006D5EFD"/>
    <w:rsid w:val="006D60A8"/>
    <w:rsid w:val="006D62A9"/>
    <w:rsid w:val="006D634A"/>
    <w:rsid w:val="006D636D"/>
    <w:rsid w:val="006D638F"/>
    <w:rsid w:val="006D666A"/>
    <w:rsid w:val="006D6AD1"/>
    <w:rsid w:val="006D6AEF"/>
    <w:rsid w:val="006D6B31"/>
    <w:rsid w:val="006D6D38"/>
    <w:rsid w:val="006D6E57"/>
    <w:rsid w:val="006D6E7D"/>
    <w:rsid w:val="006D70AD"/>
    <w:rsid w:val="006D75C9"/>
    <w:rsid w:val="006D771F"/>
    <w:rsid w:val="006D77D5"/>
    <w:rsid w:val="006D7812"/>
    <w:rsid w:val="006D7A23"/>
    <w:rsid w:val="006D7B61"/>
    <w:rsid w:val="006D7B74"/>
    <w:rsid w:val="006D7C18"/>
    <w:rsid w:val="006D7C5C"/>
    <w:rsid w:val="006D7E85"/>
    <w:rsid w:val="006D7F03"/>
    <w:rsid w:val="006D7FAE"/>
    <w:rsid w:val="006E0072"/>
    <w:rsid w:val="006E00F1"/>
    <w:rsid w:val="006E01DD"/>
    <w:rsid w:val="006E01F2"/>
    <w:rsid w:val="006E027D"/>
    <w:rsid w:val="006E03E9"/>
    <w:rsid w:val="006E0456"/>
    <w:rsid w:val="006E0475"/>
    <w:rsid w:val="006E0523"/>
    <w:rsid w:val="006E0577"/>
    <w:rsid w:val="006E069B"/>
    <w:rsid w:val="006E07F4"/>
    <w:rsid w:val="006E07FD"/>
    <w:rsid w:val="006E08BF"/>
    <w:rsid w:val="006E0A2E"/>
    <w:rsid w:val="006E0D8C"/>
    <w:rsid w:val="006E0E6B"/>
    <w:rsid w:val="006E0EB0"/>
    <w:rsid w:val="006E0F3B"/>
    <w:rsid w:val="006E113F"/>
    <w:rsid w:val="006E11B2"/>
    <w:rsid w:val="006E11CA"/>
    <w:rsid w:val="006E12E0"/>
    <w:rsid w:val="006E14BF"/>
    <w:rsid w:val="006E150B"/>
    <w:rsid w:val="006E16D8"/>
    <w:rsid w:val="006E16F1"/>
    <w:rsid w:val="006E177E"/>
    <w:rsid w:val="006E1782"/>
    <w:rsid w:val="006E18E9"/>
    <w:rsid w:val="006E1995"/>
    <w:rsid w:val="006E19AD"/>
    <w:rsid w:val="006E1A0E"/>
    <w:rsid w:val="006E1BE8"/>
    <w:rsid w:val="006E1BF9"/>
    <w:rsid w:val="006E1C50"/>
    <w:rsid w:val="006E1F85"/>
    <w:rsid w:val="006E1F92"/>
    <w:rsid w:val="006E20D7"/>
    <w:rsid w:val="006E250F"/>
    <w:rsid w:val="006E26DD"/>
    <w:rsid w:val="006E2A31"/>
    <w:rsid w:val="006E2E2A"/>
    <w:rsid w:val="006E2EA7"/>
    <w:rsid w:val="006E2EFA"/>
    <w:rsid w:val="006E30F4"/>
    <w:rsid w:val="006E317B"/>
    <w:rsid w:val="006E31B2"/>
    <w:rsid w:val="006E3268"/>
    <w:rsid w:val="006E3314"/>
    <w:rsid w:val="006E344C"/>
    <w:rsid w:val="006E34B4"/>
    <w:rsid w:val="006E34BD"/>
    <w:rsid w:val="006E35CA"/>
    <w:rsid w:val="006E3634"/>
    <w:rsid w:val="006E3A03"/>
    <w:rsid w:val="006E3C12"/>
    <w:rsid w:val="006E3C39"/>
    <w:rsid w:val="006E3D33"/>
    <w:rsid w:val="006E3D85"/>
    <w:rsid w:val="006E3DDF"/>
    <w:rsid w:val="006E3E13"/>
    <w:rsid w:val="006E3F3E"/>
    <w:rsid w:val="006E406E"/>
    <w:rsid w:val="006E43E4"/>
    <w:rsid w:val="006E44AB"/>
    <w:rsid w:val="006E47BA"/>
    <w:rsid w:val="006E483B"/>
    <w:rsid w:val="006E4CDB"/>
    <w:rsid w:val="006E4D08"/>
    <w:rsid w:val="006E4EA2"/>
    <w:rsid w:val="006E500C"/>
    <w:rsid w:val="006E50F1"/>
    <w:rsid w:val="006E5102"/>
    <w:rsid w:val="006E551E"/>
    <w:rsid w:val="006E587B"/>
    <w:rsid w:val="006E5985"/>
    <w:rsid w:val="006E5B8B"/>
    <w:rsid w:val="006E5ECE"/>
    <w:rsid w:val="006E63D8"/>
    <w:rsid w:val="006E643B"/>
    <w:rsid w:val="006E658A"/>
    <w:rsid w:val="006E6813"/>
    <w:rsid w:val="006E69CB"/>
    <w:rsid w:val="006E6E7F"/>
    <w:rsid w:val="006E70FE"/>
    <w:rsid w:val="006E71A6"/>
    <w:rsid w:val="006E73AF"/>
    <w:rsid w:val="006E7507"/>
    <w:rsid w:val="006E754D"/>
    <w:rsid w:val="006E7555"/>
    <w:rsid w:val="006E76BF"/>
    <w:rsid w:val="006E76CE"/>
    <w:rsid w:val="006E76DC"/>
    <w:rsid w:val="006E7716"/>
    <w:rsid w:val="006E7ECA"/>
    <w:rsid w:val="006F03FE"/>
    <w:rsid w:val="006F047D"/>
    <w:rsid w:val="006F0C2D"/>
    <w:rsid w:val="006F0D5F"/>
    <w:rsid w:val="006F0D69"/>
    <w:rsid w:val="006F0D95"/>
    <w:rsid w:val="006F0D96"/>
    <w:rsid w:val="006F1231"/>
    <w:rsid w:val="006F1256"/>
    <w:rsid w:val="006F12C5"/>
    <w:rsid w:val="006F1356"/>
    <w:rsid w:val="006F14CC"/>
    <w:rsid w:val="006F1608"/>
    <w:rsid w:val="006F1609"/>
    <w:rsid w:val="006F1789"/>
    <w:rsid w:val="006F198F"/>
    <w:rsid w:val="006F1BCB"/>
    <w:rsid w:val="006F1CBE"/>
    <w:rsid w:val="006F1D29"/>
    <w:rsid w:val="006F21EE"/>
    <w:rsid w:val="006F22F7"/>
    <w:rsid w:val="006F25F0"/>
    <w:rsid w:val="006F2A98"/>
    <w:rsid w:val="006F2ABA"/>
    <w:rsid w:val="006F2B39"/>
    <w:rsid w:val="006F3034"/>
    <w:rsid w:val="006F3390"/>
    <w:rsid w:val="006F3961"/>
    <w:rsid w:val="006F39A3"/>
    <w:rsid w:val="006F39E5"/>
    <w:rsid w:val="006F3A84"/>
    <w:rsid w:val="006F3BCB"/>
    <w:rsid w:val="006F3CFE"/>
    <w:rsid w:val="006F3E27"/>
    <w:rsid w:val="006F3E37"/>
    <w:rsid w:val="006F45D1"/>
    <w:rsid w:val="006F4771"/>
    <w:rsid w:val="006F487A"/>
    <w:rsid w:val="006F4958"/>
    <w:rsid w:val="006F4ACB"/>
    <w:rsid w:val="006F4AE7"/>
    <w:rsid w:val="006F4B53"/>
    <w:rsid w:val="006F4C3F"/>
    <w:rsid w:val="006F4DEB"/>
    <w:rsid w:val="006F50C7"/>
    <w:rsid w:val="006F554C"/>
    <w:rsid w:val="006F55DE"/>
    <w:rsid w:val="006F5628"/>
    <w:rsid w:val="006F5AA4"/>
    <w:rsid w:val="006F5CFF"/>
    <w:rsid w:val="006F5E02"/>
    <w:rsid w:val="006F5F42"/>
    <w:rsid w:val="006F5FC1"/>
    <w:rsid w:val="006F600E"/>
    <w:rsid w:val="006F6075"/>
    <w:rsid w:val="006F6104"/>
    <w:rsid w:val="006F63B6"/>
    <w:rsid w:val="006F65A5"/>
    <w:rsid w:val="006F6723"/>
    <w:rsid w:val="006F68FD"/>
    <w:rsid w:val="006F6978"/>
    <w:rsid w:val="006F69F6"/>
    <w:rsid w:val="006F6A86"/>
    <w:rsid w:val="006F6CBA"/>
    <w:rsid w:val="006F6F66"/>
    <w:rsid w:val="006F7117"/>
    <w:rsid w:val="006F72AD"/>
    <w:rsid w:val="006F75A6"/>
    <w:rsid w:val="006F7661"/>
    <w:rsid w:val="006F76E3"/>
    <w:rsid w:val="006F77E8"/>
    <w:rsid w:val="006F79B8"/>
    <w:rsid w:val="006F7AE9"/>
    <w:rsid w:val="006F7B34"/>
    <w:rsid w:val="006F7B5F"/>
    <w:rsid w:val="006F7BAD"/>
    <w:rsid w:val="006F7E16"/>
    <w:rsid w:val="0070021A"/>
    <w:rsid w:val="007002B1"/>
    <w:rsid w:val="007002F1"/>
    <w:rsid w:val="00700481"/>
    <w:rsid w:val="00700583"/>
    <w:rsid w:val="00700827"/>
    <w:rsid w:val="00700975"/>
    <w:rsid w:val="00700E00"/>
    <w:rsid w:val="00700E5C"/>
    <w:rsid w:val="00700E63"/>
    <w:rsid w:val="00700F31"/>
    <w:rsid w:val="00700F67"/>
    <w:rsid w:val="0070101A"/>
    <w:rsid w:val="007011C9"/>
    <w:rsid w:val="00701290"/>
    <w:rsid w:val="0070134D"/>
    <w:rsid w:val="007013A6"/>
    <w:rsid w:val="007013A8"/>
    <w:rsid w:val="0070177A"/>
    <w:rsid w:val="007018B8"/>
    <w:rsid w:val="00701C2D"/>
    <w:rsid w:val="0070241D"/>
    <w:rsid w:val="007025AA"/>
    <w:rsid w:val="007025DA"/>
    <w:rsid w:val="0070275E"/>
    <w:rsid w:val="007028AB"/>
    <w:rsid w:val="007028C9"/>
    <w:rsid w:val="00702A32"/>
    <w:rsid w:val="00702C45"/>
    <w:rsid w:val="00702CFC"/>
    <w:rsid w:val="00702DA0"/>
    <w:rsid w:val="00702DAA"/>
    <w:rsid w:val="00702E64"/>
    <w:rsid w:val="0070318F"/>
    <w:rsid w:val="007032EF"/>
    <w:rsid w:val="00703375"/>
    <w:rsid w:val="00703455"/>
    <w:rsid w:val="00703D21"/>
    <w:rsid w:val="00704013"/>
    <w:rsid w:val="0070414A"/>
    <w:rsid w:val="00704469"/>
    <w:rsid w:val="00704682"/>
    <w:rsid w:val="00704A9A"/>
    <w:rsid w:val="00704AF3"/>
    <w:rsid w:val="00704B2B"/>
    <w:rsid w:val="00704C6B"/>
    <w:rsid w:val="00704D10"/>
    <w:rsid w:val="00704EB3"/>
    <w:rsid w:val="00704EC0"/>
    <w:rsid w:val="00704FD8"/>
    <w:rsid w:val="007050CD"/>
    <w:rsid w:val="00705786"/>
    <w:rsid w:val="0070597D"/>
    <w:rsid w:val="007059E8"/>
    <w:rsid w:val="00705AA5"/>
    <w:rsid w:val="00705B70"/>
    <w:rsid w:val="0070605E"/>
    <w:rsid w:val="007063F9"/>
    <w:rsid w:val="00706632"/>
    <w:rsid w:val="007066A0"/>
    <w:rsid w:val="007066BA"/>
    <w:rsid w:val="007067AC"/>
    <w:rsid w:val="007067AD"/>
    <w:rsid w:val="0070684C"/>
    <w:rsid w:val="007068CB"/>
    <w:rsid w:val="007069D4"/>
    <w:rsid w:val="00706AA4"/>
    <w:rsid w:val="00706AC6"/>
    <w:rsid w:val="00706C58"/>
    <w:rsid w:val="00706CDD"/>
    <w:rsid w:val="00706D37"/>
    <w:rsid w:val="007075CC"/>
    <w:rsid w:val="007076AA"/>
    <w:rsid w:val="00707863"/>
    <w:rsid w:val="007079AD"/>
    <w:rsid w:val="00707BC0"/>
    <w:rsid w:val="00707C24"/>
    <w:rsid w:val="00707C45"/>
    <w:rsid w:val="00707DC7"/>
    <w:rsid w:val="00707E8F"/>
    <w:rsid w:val="0071006D"/>
    <w:rsid w:val="007100D5"/>
    <w:rsid w:val="007101D5"/>
    <w:rsid w:val="0071021E"/>
    <w:rsid w:val="00710443"/>
    <w:rsid w:val="007107B4"/>
    <w:rsid w:val="0071095D"/>
    <w:rsid w:val="00710A31"/>
    <w:rsid w:val="00710B60"/>
    <w:rsid w:val="00710BF6"/>
    <w:rsid w:val="00710D8F"/>
    <w:rsid w:val="00710DA8"/>
    <w:rsid w:val="00710DE6"/>
    <w:rsid w:val="00710EB6"/>
    <w:rsid w:val="007111E0"/>
    <w:rsid w:val="007112BB"/>
    <w:rsid w:val="007113B9"/>
    <w:rsid w:val="00711728"/>
    <w:rsid w:val="00711831"/>
    <w:rsid w:val="007118C4"/>
    <w:rsid w:val="00711B50"/>
    <w:rsid w:val="00711B86"/>
    <w:rsid w:val="00711D89"/>
    <w:rsid w:val="00711DDA"/>
    <w:rsid w:val="00711DE7"/>
    <w:rsid w:val="00711EE6"/>
    <w:rsid w:val="00712000"/>
    <w:rsid w:val="007120D3"/>
    <w:rsid w:val="0071212A"/>
    <w:rsid w:val="007122EE"/>
    <w:rsid w:val="0071230D"/>
    <w:rsid w:val="007123A5"/>
    <w:rsid w:val="007125F8"/>
    <w:rsid w:val="00712764"/>
    <w:rsid w:val="007127AF"/>
    <w:rsid w:val="00713236"/>
    <w:rsid w:val="007132F7"/>
    <w:rsid w:val="00713381"/>
    <w:rsid w:val="007133FB"/>
    <w:rsid w:val="0071355A"/>
    <w:rsid w:val="00713928"/>
    <w:rsid w:val="0071395C"/>
    <w:rsid w:val="00713971"/>
    <w:rsid w:val="0071398A"/>
    <w:rsid w:val="00713A2E"/>
    <w:rsid w:val="00713AFB"/>
    <w:rsid w:val="00713B75"/>
    <w:rsid w:val="00713B90"/>
    <w:rsid w:val="00713C46"/>
    <w:rsid w:val="007140CF"/>
    <w:rsid w:val="007140E5"/>
    <w:rsid w:val="00714284"/>
    <w:rsid w:val="00714485"/>
    <w:rsid w:val="00714776"/>
    <w:rsid w:val="00714A8F"/>
    <w:rsid w:val="00714A9A"/>
    <w:rsid w:val="00714B61"/>
    <w:rsid w:val="00714CCB"/>
    <w:rsid w:val="00714D83"/>
    <w:rsid w:val="00714DB5"/>
    <w:rsid w:val="00714E46"/>
    <w:rsid w:val="00714EC1"/>
    <w:rsid w:val="00714F42"/>
    <w:rsid w:val="007150EE"/>
    <w:rsid w:val="0071515B"/>
    <w:rsid w:val="0071515E"/>
    <w:rsid w:val="00715199"/>
    <w:rsid w:val="00715678"/>
    <w:rsid w:val="0071597B"/>
    <w:rsid w:val="00715A20"/>
    <w:rsid w:val="00715CAA"/>
    <w:rsid w:val="00715CE5"/>
    <w:rsid w:val="00715DCB"/>
    <w:rsid w:val="00715EEB"/>
    <w:rsid w:val="00716153"/>
    <w:rsid w:val="007161DE"/>
    <w:rsid w:val="0071621B"/>
    <w:rsid w:val="007162A3"/>
    <w:rsid w:val="007162D0"/>
    <w:rsid w:val="0071681F"/>
    <w:rsid w:val="00716853"/>
    <w:rsid w:val="007168B6"/>
    <w:rsid w:val="00716D86"/>
    <w:rsid w:val="00717045"/>
    <w:rsid w:val="0071723D"/>
    <w:rsid w:val="007175F2"/>
    <w:rsid w:val="0071762D"/>
    <w:rsid w:val="007176B7"/>
    <w:rsid w:val="007176CB"/>
    <w:rsid w:val="00717779"/>
    <w:rsid w:val="00717942"/>
    <w:rsid w:val="00717A35"/>
    <w:rsid w:val="00717A64"/>
    <w:rsid w:val="00717CAD"/>
    <w:rsid w:val="00717F69"/>
    <w:rsid w:val="0072016C"/>
    <w:rsid w:val="00720208"/>
    <w:rsid w:val="00720477"/>
    <w:rsid w:val="007205D4"/>
    <w:rsid w:val="00720688"/>
    <w:rsid w:val="00720893"/>
    <w:rsid w:val="007208CC"/>
    <w:rsid w:val="007208EA"/>
    <w:rsid w:val="00720A81"/>
    <w:rsid w:val="00720AC6"/>
    <w:rsid w:val="00720ACA"/>
    <w:rsid w:val="00720C0F"/>
    <w:rsid w:val="00720CC5"/>
    <w:rsid w:val="00720F5A"/>
    <w:rsid w:val="007214CC"/>
    <w:rsid w:val="007217CF"/>
    <w:rsid w:val="00721814"/>
    <w:rsid w:val="007218F9"/>
    <w:rsid w:val="007219E9"/>
    <w:rsid w:val="00721BE1"/>
    <w:rsid w:val="00721BEA"/>
    <w:rsid w:val="00721C21"/>
    <w:rsid w:val="00721CDA"/>
    <w:rsid w:val="00721F07"/>
    <w:rsid w:val="00721F54"/>
    <w:rsid w:val="00722223"/>
    <w:rsid w:val="00722259"/>
    <w:rsid w:val="007223AB"/>
    <w:rsid w:val="007223C3"/>
    <w:rsid w:val="0072241F"/>
    <w:rsid w:val="007226D6"/>
    <w:rsid w:val="007228E2"/>
    <w:rsid w:val="0072296D"/>
    <w:rsid w:val="007229E2"/>
    <w:rsid w:val="00722B28"/>
    <w:rsid w:val="00722BED"/>
    <w:rsid w:val="00722C23"/>
    <w:rsid w:val="00722E23"/>
    <w:rsid w:val="00722F49"/>
    <w:rsid w:val="00722FFC"/>
    <w:rsid w:val="007230C7"/>
    <w:rsid w:val="00723463"/>
    <w:rsid w:val="00723509"/>
    <w:rsid w:val="00723707"/>
    <w:rsid w:val="00723A02"/>
    <w:rsid w:val="00723A48"/>
    <w:rsid w:val="00723B3D"/>
    <w:rsid w:val="00723E54"/>
    <w:rsid w:val="00723EA8"/>
    <w:rsid w:val="00723F47"/>
    <w:rsid w:val="0072427E"/>
    <w:rsid w:val="00724357"/>
    <w:rsid w:val="00724476"/>
    <w:rsid w:val="007244FC"/>
    <w:rsid w:val="00724663"/>
    <w:rsid w:val="00724D54"/>
    <w:rsid w:val="00724DA1"/>
    <w:rsid w:val="00724F20"/>
    <w:rsid w:val="0072515A"/>
    <w:rsid w:val="0072587B"/>
    <w:rsid w:val="00725970"/>
    <w:rsid w:val="00725A96"/>
    <w:rsid w:val="00725B7B"/>
    <w:rsid w:val="00725EF9"/>
    <w:rsid w:val="0072606E"/>
    <w:rsid w:val="0072608D"/>
    <w:rsid w:val="0072614B"/>
    <w:rsid w:val="00726185"/>
    <w:rsid w:val="0072631B"/>
    <w:rsid w:val="00726358"/>
    <w:rsid w:val="007263B9"/>
    <w:rsid w:val="007264E0"/>
    <w:rsid w:val="0072655E"/>
    <w:rsid w:val="0072679F"/>
    <w:rsid w:val="007267EF"/>
    <w:rsid w:val="00726978"/>
    <w:rsid w:val="00726AAC"/>
    <w:rsid w:val="00726ABE"/>
    <w:rsid w:val="00726D4F"/>
    <w:rsid w:val="00726D71"/>
    <w:rsid w:val="00726DD4"/>
    <w:rsid w:val="00726E96"/>
    <w:rsid w:val="00726EC2"/>
    <w:rsid w:val="00726FD5"/>
    <w:rsid w:val="00727153"/>
    <w:rsid w:val="0072761F"/>
    <w:rsid w:val="007276F2"/>
    <w:rsid w:val="00727722"/>
    <w:rsid w:val="00727893"/>
    <w:rsid w:val="00727924"/>
    <w:rsid w:val="0072795D"/>
    <w:rsid w:val="00727AD6"/>
    <w:rsid w:val="00727CEA"/>
    <w:rsid w:val="00727EB6"/>
    <w:rsid w:val="00727EC7"/>
    <w:rsid w:val="00727F3F"/>
    <w:rsid w:val="00727F7C"/>
    <w:rsid w:val="00730063"/>
    <w:rsid w:val="007301B5"/>
    <w:rsid w:val="0073055A"/>
    <w:rsid w:val="0073061B"/>
    <w:rsid w:val="00730695"/>
    <w:rsid w:val="00730801"/>
    <w:rsid w:val="0073080F"/>
    <w:rsid w:val="007308B6"/>
    <w:rsid w:val="00730CF1"/>
    <w:rsid w:val="00730D23"/>
    <w:rsid w:val="00730D80"/>
    <w:rsid w:val="00730DDB"/>
    <w:rsid w:val="0073109E"/>
    <w:rsid w:val="00731239"/>
    <w:rsid w:val="0073133A"/>
    <w:rsid w:val="00731514"/>
    <w:rsid w:val="00731594"/>
    <w:rsid w:val="00731616"/>
    <w:rsid w:val="007316B1"/>
    <w:rsid w:val="00731745"/>
    <w:rsid w:val="00731BBD"/>
    <w:rsid w:val="00731D00"/>
    <w:rsid w:val="0073221B"/>
    <w:rsid w:val="007322BC"/>
    <w:rsid w:val="0073236C"/>
    <w:rsid w:val="00732570"/>
    <w:rsid w:val="007326B4"/>
    <w:rsid w:val="0073272F"/>
    <w:rsid w:val="007327CF"/>
    <w:rsid w:val="00732865"/>
    <w:rsid w:val="007328BF"/>
    <w:rsid w:val="00732915"/>
    <w:rsid w:val="00732977"/>
    <w:rsid w:val="00732984"/>
    <w:rsid w:val="007329C3"/>
    <w:rsid w:val="00732AF3"/>
    <w:rsid w:val="00732C6D"/>
    <w:rsid w:val="007330FE"/>
    <w:rsid w:val="007331A9"/>
    <w:rsid w:val="00733437"/>
    <w:rsid w:val="0073346C"/>
    <w:rsid w:val="007334F7"/>
    <w:rsid w:val="007335D6"/>
    <w:rsid w:val="007336FA"/>
    <w:rsid w:val="007338E7"/>
    <w:rsid w:val="00733B0F"/>
    <w:rsid w:val="00733B87"/>
    <w:rsid w:val="00733C6D"/>
    <w:rsid w:val="00733C88"/>
    <w:rsid w:val="00733CCC"/>
    <w:rsid w:val="00733D8B"/>
    <w:rsid w:val="00733EBF"/>
    <w:rsid w:val="007343BD"/>
    <w:rsid w:val="00734414"/>
    <w:rsid w:val="007345FB"/>
    <w:rsid w:val="007348B1"/>
    <w:rsid w:val="007351DB"/>
    <w:rsid w:val="007352CE"/>
    <w:rsid w:val="0073532A"/>
    <w:rsid w:val="00735602"/>
    <w:rsid w:val="00735643"/>
    <w:rsid w:val="00735928"/>
    <w:rsid w:val="00735939"/>
    <w:rsid w:val="007359AE"/>
    <w:rsid w:val="00735B55"/>
    <w:rsid w:val="00735CAE"/>
    <w:rsid w:val="0073600B"/>
    <w:rsid w:val="00736054"/>
    <w:rsid w:val="00736553"/>
    <w:rsid w:val="0073664C"/>
    <w:rsid w:val="00736704"/>
    <w:rsid w:val="007368BC"/>
    <w:rsid w:val="007368FE"/>
    <w:rsid w:val="00736C7A"/>
    <w:rsid w:val="00736CAA"/>
    <w:rsid w:val="00736DDB"/>
    <w:rsid w:val="00736F3E"/>
    <w:rsid w:val="00737001"/>
    <w:rsid w:val="007370CF"/>
    <w:rsid w:val="007370D6"/>
    <w:rsid w:val="00737654"/>
    <w:rsid w:val="00737668"/>
    <w:rsid w:val="00737675"/>
    <w:rsid w:val="0073768F"/>
    <w:rsid w:val="0073792E"/>
    <w:rsid w:val="00737C7B"/>
    <w:rsid w:val="00737CE4"/>
    <w:rsid w:val="00737D28"/>
    <w:rsid w:val="00737E34"/>
    <w:rsid w:val="00737F20"/>
    <w:rsid w:val="00740029"/>
    <w:rsid w:val="0074012E"/>
    <w:rsid w:val="007402E6"/>
    <w:rsid w:val="00740382"/>
    <w:rsid w:val="00740415"/>
    <w:rsid w:val="007406AA"/>
    <w:rsid w:val="00740895"/>
    <w:rsid w:val="007408F2"/>
    <w:rsid w:val="00740A44"/>
    <w:rsid w:val="00740BE5"/>
    <w:rsid w:val="00740C4B"/>
    <w:rsid w:val="00740C77"/>
    <w:rsid w:val="00740CBB"/>
    <w:rsid w:val="00740EAC"/>
    <w:rsid w:val="00740EE7"/>
    <w:rsid w:val="00740F6D"/>
    <w:rsid w:val="0074109A"/>
    <w:rsid w:val="00741447"/>
    <w:rsid w:val="007416D5"/>
    <w:rsid w:val="007416F0"/>
    <w:rsid w:val="007418E5"/>
    <w:rsid w:val="00741A8A"/>
    <w:rsid w:val="00741B30"/>
    <w:rsid w:val="00741C5F"/>
    <w:rsid w:val="00741D2F"/>
    <w:rsid w:val="00741F6E"/>
    <w:rsid w:val="0074211F"/>
    <w:rsid w:val="007421EC"/>
    <w:rsid w:val="007423B7"/>
    <w:rsid w:val="00742430"/>
    <w:rsid w:val="007425F6"/>
    <w:rsid w:val="0074261F"/>
    <w:rsid w:val="007427DD"/>
    <w:rsid w:val="00742A77"/>
    <w:rsid w:val="00742BE8"/>
    <w:rsid w:val="00742FBB"/>
    <w:rsid w:val="00743014"/>
    <w:rsid w:val="007430C7"/>
    <w:rsid w:val="0074310C"/>
    <w:rsid w:val="007432A6"/>
    <w:rsid w:val="00743397"/>
    <w:rsid w:val="007435EC"/>
    <w:rsid w:val="0074369D"/>
    <w:rsid w:val="007436E9"/>
    <w:rsid w:val="007438BA"/>
    <w:rsid w:val="0074396A"/>
    <w:rsid w:val="00743A15"/>
    <w:rsid w:val="00743AE7"/>
    <w:rsid w:val="00743BC7"/>
    <w:rsid w:val="00743DEB"/>
    <w:rsid w:val="00743E13"/>
    <w:rsid w:val="00744276"/>
    <w:rsid w:val="00744406"/>
    <w:rsid w:val="00744543"/>
    <w:rsid w:val="00744545"/>
    <w:rsid w:val="00744576"/>
    <w:rsid w:val="007446CA"/>
    <w:rsid w:val="00744AE0"/>
    <w:rsid w:val="00744B1D"/>
    <w:rsid w:val="00744B77"/>
    <w:rsid w:val="00744BC5"/>
    <w:rsid w:val="00744D3F"/>
    <w:rsid w:val="00744E48"/>
    <w:rsid w:val="00744ED9"/>
    <w:rsid w:val="007451DB"/>
    <w:rsid w:val="007451FC"/>
    <w:rsid w:val="0074521E"/>
    <w:rsid w:val="00745360"/>
    <w:rsid w:val="00745465"/>
    <w:rsid w:val="00745583"/>
    <w:rsid w:val="007456DA"/>
    <w:rsid w:val="0074587A"/>
    <w:rsid w:val="0074594F"/>
    <w:rsid w:val="007459E8"/>
    <w:rsid w:val="00745A25"/>
    <w:rsid w:val="00745D5B"/>
    <w:rsid w:val="00745DE6"/>
    <w:rsid w:val="00745E9E"/>
    <w:rsid w:val="00745F94"/>
    <w:rsid w:val="007460F2"/>
    <w:rsid w:val="007466EA"/>
    <w:rsid w:val="00746722"/>
    <w:rsid w:val="007468E3"/>
    <w:rsid w:val="00746B90"/>
    <w:rsid w:val="00746BCE"/>
    <w:rsid w:val="00746E6B"/>
    <w:rsid w:val="007470D8"/>
    <w:rsid w:val="00747234"/>
    <w:rsid w:val="007472E1"/>
    <w:rsid w:val="00747867"/>
    <w:rsid w:val="00747CDA"/>
    <w:rsid w:val="00747F58"/>
    <w:rsid w:val="00747FD1"/>
    <w:rsid w:val="00750073"/>
    <w:rsid w:val="0075007A"/>
    <w:rsid w:val="0075022F"/>
    <w:rsid w:val="00750254"/>
    <w:rsid w:val="007504AC"/>
    <w:rsid w:val="007508E0"/>
    <w:rsid w:val="00750B8A"/>
    <w:rsid w:val="00750E1F"/>
    <w:rsid w:val="00750EB7"/>
    <w:rsid w:val="00750EBB"/>
    <w:rsid w:val="00750EBD"/>
    <w:rsid w:val="007510B3"/>
    <w:rsid w:val="0075112E"/>
    <w:rsid w:val="0075119F"/>
    <w:rsid w:val="00751337"/>
    <w:rsid w:val="00751556"/>
    <w:rsid w:val="0075181E"/>
    <w:rsid w:val="0075194B"/>
    <w:rsid w:val="00751A79"/>
    <w:rsid w:val="00751D35"/>
    <w:rsid w:val="00751DD8"/>
    <w:rsid w:val="00752240"/>
    <w:rsid w:val="007525A3"/>
    <w:rsid w:val="0075273A"/>
    <w:rsid w:val="0075279B"/>
    <w:rsid w:val="007527E5"/>
    <w:rsid w:val="0075296C"/>
    <w:rsid w:val="007529E3"/>
    <w:rsid w:val="007529E4"/>
    <w:rsid w:val="00752B71"/>
    <w:rsid w:val="00752D45"/>
    <w:rsid w:val="00752D85"/>
    <w:rsid w:val="00752D94"/>
    <w:rsid w:val="00752F66"/>
    <w:rsid w:val="0075356F"/>
    <w:rsid w:val="00753577"/>
    <w:rsid w:val="0075361E"/>
    <w:rsid w:val="00753901"/>
    <w:rsid w:val="00753987"/>
    <w:rsid w:val="007539DB"/>
    <w:rsid w:val="00753A1E"/>
    <w:rsid w:val="00753BC9"/>
    <w:rsid w:val="00753F01"/>
    <w:rsid w:val="00754035"/>
    <w:rsid w:val="007540EE"/>
    <w:rsid w:val="0075415F"/>
    <w:rsid w:val="007543E5"/>
    <w:rsid w:val="007543F8"/>
    <w:rsid w:val="0075442A"/>
    <w:rsid w:val="007544EC"/>
    <w:rsid w:val="0075452D"/>
    <w:rsid w:val="00754564"/>
    <w:rsid w:val="007546F5"/>
    <w:rsid w:val="007547F5"/>
    <w:rsid w:val="0075498B"/>
    <w:rsid w:val="0075499B"/>
    <w:rsid w:val="00754AAC"/>
    <w:rsid w:val="00755075"/>
    <w:rsid w:val="00755388"/>
    <w:rsid w:val="007553E8"/>
    <w:rsid w:val="00755621"/>
    <w:rsid w:val="0075566E"/>
    <w:rsid w:val="00755711"/>
    <w:rsid w:val="0075595F"/>
    <w:rsid w:val="00755B99"/>
    <w:rsid w:val="00755BAB"/>
    <w:rsid w:val="00755FF8"/>
    <w:rsid w:val="0075600E"/>
    <w:rsid w:val="00756033"/>
    <w:rsid w:val="0075664F"/>
    <w:rsid w:val="007566DC"/>
    <w:rsid w:val="00756716"/>
    <w:rsid w:val="007567A0"/>
    <w:rsid w:val="007568C8"/>
    <w:rsid w:val="00756A1D"/>
    <w:rsid w:val="00756DB1"/>
    <w:rsid w:val="00756F4C"/>
    <w:rsid w:val="00757311"/>
    <w:rsid w:val="007575E7"/>
    <w:rsid w:val="0075768B"/>
    <w:rsid w:val="007576F7"/>
    <w:rsid w:val="007577CC"/>
    <w:rsid w:val="00757ABD"/>
    <w:rsid w:val="00757AE6"/>
    <w:rsid w:val="00757B25"/>
    <w:rsid w:val="00757B5B"/>
    <w:rsid w:val="00757E75"/>
    <w:rsid w:val="00760157"/>
    <w:rsid w:val="00760216"/>
    <w:rsid w:val="007602A8"/>
    <w:rsid w:val="00760466"/>
    <w:rsid w:val="0076046F"/>
    <w:rsid w:val="0076062E"/>
    <w:rsid w:val="00760825"/>
    <w:rsid w:val="0076099C"/>
    <w:rsid w:val="007609C5"/>
    <w:rsid w:val="00760BB5"/>
    <w:rsid w:val="00760CFC"/>
    <w:rsid w:val="00760E4E"/>
    <w:rsid w:val="00760E96"/>
    <w:rsid w:val="00761117"/>
    <w:rsid w:val="007611E1"/>
    <w:rsid w:val="0076121A"/>
    <w:rsid w:val="00761281"/>
    <w:rsid w:val="0076144F"/>
    <w:rsid w:val="007614CB"/>
    <w:rsid w:val="00761668"/>
    <w:rsid w:val="00761754"/>
    <w:rsid w:val="007617F1"/>
    <w:rsid w:val="007619F9"/>
    <w:rsid w:val="00761B9D"/>
    <w:rsid w:val="00761BD5"/>
    <w:rsid w:val="00761C9E"/>
    <w:rsid w:val="00761F71"/>
    <w:rsid w:val="00761F72"/>
    <w:rsid w:val="0076213A"/>
    <w:rsid w:val="0076228E"/>
    <w:rsid w:val="0076232A"/>
    <w:rsid w:val="00762390"/>
    <w:rsid w:val="007623B9"/>
    <w:rsid w:val="007623FC"/>
    <w:rsid w:val="00762569"/>
    <w:rsid w:val="00762572"/>
    <w:rsid w:val="00762776"/>
    <w:rsid w:val="007627C9"/>
    <w:rsid w:val="007628FD"/>
    <w:rsid w:val="00762963"/>
    <w:rsid w:val="00762A40"/>
    <w:rsid w:val="00762BF0"/>
    <w:rsid w:val="00762C45"/>
    <w:rsid w:val="00762CBD"/>
    <w:rsid w:val="00762D83"/>
    <w:rsid w:val="00762F4F"/>
    <w:rsid w:val="007630E3"/>
    <w:rsid w:val="007630E6"/>
    <w:rsid w:val="00763219"/>
    <w:rsid w:val="007635B9"/>
    <w:rsid w:val="00763BA8"/>
    <w:rsid w:val="00763CBC"/>
    <w:rsid w:val="00763DC1"/>
    <w:rsid w:val="00763E68"/>
    <w:rsid w:val="007641AD"/>
    <w:rsid w:val="0076438F"/>
    <w:rsid w:val="0076447C"/>
    <w:rsid w:val="0076459E"/>
    <w:rsid w:val="007645C6"/>
    <w:rsid w:val="007646E5"/>
    <w:rsid w:val="007647A5"/>
    <w:rsid w:val="00764860"/>
    <w:rsid w:val="00764937"/>
    <w:rsid w:val="00764955"/>
    <w:rsid w:val="00764A5A"/>
    <w:rsid w:val="00764A8E"/>
    <w:rsid w:val="00764E38"/>
    <w:rsid w:val="00764E87"/>
    <w:rsid w:val="00765066"/>
    <w:rsid w:val="007650B5"/>
    <w:rsid w:val="007653A0"/>
    <w:rsid w:val="007654B5"/>
    <w:rsid w:val="007656DC"/>
    <w:rsid w:val="00765A43"/>
    <w:rsid w:val="00765C1F"/>
    <w:rsid w:val="00765CEF"/>
    <w:rsid w:val="00765E13"/>
    <w:rsid w:val="00765ED0"/>
    <w:rsid w:val="00765F98"/>
    <w:rsid w:val="0076640E"/>
    <w:rsid w:val="00766590"/>
    <w:rsid w:val="007665AA"/>
    <w:rsid w:val="0076669C"/>
    <w:rsid w:val="007666DC"/>
    <w:rsid w:val="00766818"/>
    <w:rsid w:val="00766B1D"/>
    <w:rsid w:val="00766B2D"/>
    <w:rsid w:val="00766D43"/>
    <w:rsid w:val="00766E73"/>
    <w:rsid w:val="0076704C"/>
    <w:rsid w:val="007670A4"/>
    <w:rsid w:val="0076711E"/>
    <w:rsid w:val="00767481"/>
    <w:rsid w:val="00767567"/>
    <w:rsid w:val="007675E5"/>
    <w:rsid w:val="007675F3"/>
    <w:rsid w:val="007677F9"/>
    <w:rsid w:val="00767807"/>
    <w:rsid w:val="00767816"/>
    <w:rsid w:val="0076782A"/>
    <w:rsid w:val="007678AB"/>
    <w:rsid w:val="007678BF"/>
    <w:rsid w:val="00767BBD"/>
    <w:rsid w:val="00767C2B"/>
    <w:rsid w:val="00767E35"/>
    <w:rsid w:val="00770070"/>
    <w:rsid w:val="00770140"/>
    <w:rsid w:val="007701B0"/>
    <w:rsid w:val="007702F5"/>
    <w:rsid w:val="0077052B"/>
    <w:rsid w:val="00770804"/>
    <w:rsid w:val="0077085D"/>
    <w:rsid w:val="007708F0"/>
    <w:rsid w:val="007709F3"/>
    <w:rsid w:val="00770B14"/>
    <w:rsid w:val="00770B48"/>
    <w:rsid w:val="00770B8F"/>
    <w:rsid w:val="00770BCB"/>
    <w:rsid w:val="00770E5A"/>
    <w:rsid w:val="00770E6D"/>
    <w:rsid w:val="00771035"/>
    <w:rsid w:val="0077125C"/>
    <w:rsid w:val="00771312"/>
    <w:rsid w:val="00771401"/>
    <w:rsid w:val="00771443"/>
    <w:rsid w:val="0077150F"/>
    <w:rsid w:val="00771610"/>
    <w:rsid w:val="00771722"/>
    <w:rsid w:val="00771832"/>
    <w:rsid w:val="0077186D"/>
    <w:rsid w:val="007718B5"/>
    <w:rsid w:val="007718E8"/>
    <w:rsid w:val="007719E5"/>
    <w:rsid w:val="00771A08"/>
    <w:rsid w:val="00771A30"/>
    <w:rsid w:val="00771A39"/>
    <w:rsid w:val="00771A5A"/>
    <w:rsid w:val="00771A77"/>
    <w:rsid w:val="00771B08"/>
    <w:rsid w:val="00771C5D"/>
    <w:rsid w:val="00771D44"/>
    <w:rsid w:val="00772110"/>
    <w:rsid w:val="00772188"/>
    <w:rsid w:val="007725D5"/>
    <w:rsid w:val="007727D3"/>
    <w:rsid w:val="00772818"/>
    <w:rsid w:val="0077283E"/>
    <w:rsid w:val="00772CD1"/>
    <w:rsid w:val="00772E87"/>
    <w:rsid w:val="00772EDA"/>
    <w:rsid w:val="00772F3A"/>
    <w:rsid w:val="00773450"/>
    <w:rsid w:val="007734E2"/>
    <w:rsid w:val="007735BD"/>
    <w:rsid w:val="007735C3"/>
    <w:rsid w:val="00773622"/>
    <w:rsid w:val="0077375F"/>
    <w:rsid w:val="00773840"/>
    <w:rsid w:val="0077388C"/>
    <w:rsid w:val="0077396B"/>
    <w:rsid w:val="00773CE4"/>
    <w:rsid w:val="00773D04"/>
    <w:rsid w:val="00773F5A"/>
    <w:rsid w:val="00774062"/>
    <w:rsid w:val="007741EB"/>
    <w:rsid w:val="00774391"/>
    <w:rsid w:val="007743B4"/>
    <w:rsid w:val="007744C0"/>
    <w:rsid w:val="007745E8"/>
    <w:rsid w:val="00774829"/>
    <w:rsid w:val="00774AAB"/>
    <w:rsid w:val="00774C4E"/>
    <w:rsid w:val="00774C89"/>
    <w:rsid w:val="00774D78"/>
    <w:rsid w:val="00774E07"/>
    <w:rsid w:val="0077510F"/>
    <w:rsid w:val="00775141"/>
    <w:rsid w:val="0077526E"/>
    <w:rsid w:val="00775542"/>
    <w:rsid w:val="0077554B"/>
    <w:rsid w:val="00775A17"/>
    <w:rsid w:val="00775A63"/>
    <w:rsid w:val="007761C9"/>
    <w:rsid w:val="007764AF"/>
    <w:rsid w:val="007766DD"/>
    <w:rsid w:val="00776705"/>
    <w:rsid w:val="0077671E"/>
    <w:rsid w:val="00776816"/>
    <w:rsid w:val="00776924"/>
    <w:rsid w:val="007769D4"/>
    <w:rsid w:val="007769FD"/>
    <w:rsid w:val="00776A65"/>
    <w:rsid w:val="00776B1F"/>
    <w:rsid w:val="00776B93"/>
    <w:rsid w:val="00776FC6"/>
    <w:rsid w:val="00777286"/>
    <w:rsid w:val="0077738C"/>
    <w:rsid w:val="007779C7"/>
    <w:rsid w:val="00777A0E"/>
    <w:rsid w:val="00777AAB"/>
    <w:rsid w:val="00777B33"/>
    <w:rsid w:val="00777DD1"/>
    <w:rsid w:val="007800C6"/>
    <w:rsid w:val="0078021C"/>
    <w:rsid w:val="007803E0"/>
    <w:rsid w:val="00780422"/>
    <w:rsid w:val="00780624"/>
    <w:rsid w:val="00780805"/>
    <w:rsid w:val="0078082E"/>
    <w:rsid w:val="007809BC"/>
    <w:rsid w:val="00780A09"/>
    <w:rsid w:val="00780AEE"/>
    <w:rsid w:val="00780B22"/>
    <w:rsid w:val="00780CB6"/>
    <w:rsid w:val="00780CE8"/>
    <w:rsid w:val="00780D05"/>
    <w:rsid w:val="00780E5F"/>
    <w:rsid w:val="00780F36"/>
    <w:rsid w:val="007810AE"/>
    <w:rsid w:val="007813D9"/>
    <w:rsid w:val="007813EE"/>
    <w:rsid w:val="00781483"/>
    <w:rsid w:val="007816EB"/>
    <w:rsid w:val="007817D6"/>
    <w:rsid w:val="00781BC4"/>
    <w:rsid w:val="00781F7C"/>
    <w:rsid w:val="007823F1"/>
    <w:rsid w:val="0078279C"/>
    <w:rsid w:val="00782835"/>
    <w:rsid w:val="00782A27"/>
    <w:rsid w:val="00782B88"/>
    <w:rsid w:val="00782EF1"/>
    <w:rsid w:val="00783028"/>
    <w:rsid w:val="0078309B"/>
    <w:rsid w:val="00783113"/>
    <w:rsid w:val="00783269"/>
    <w:rsid w:val="007835CC"/>
    <w:rsid w:val="007835D6"/>
    <w:rsid w:val="007836A2"/>
    <w:rsid w:val="0078393F"/>
    <w:rsid w:val="00783B4E"/>
    <w:rsid w:val="00783C0A"/>
    <w:rsid w:val="00783C61"/>
    <w:rsid w:val="00783C91"/>
    <w:rsid w:val="00783D50"/>
    <w:rsid w:val="007840DC"/>
    <w:rsid w:val="007841B4"/>
    <w:rsid w:val="00784213"/>
    <w:rsid w:val="00784524"/>
    <w:rsid w:val="0078460D"/>
    <w:rsid w:val="00784954"/>
    <w:rsid w:val="00784A21"/>
    <w:rsid w:val="00784CD8"/>
    <w:rsid w:val="00784CDE"/>
    <w:rsid w:val="00784DBB"/>
    <w:rsid w:val="00784E56"/>
    <w:rsid w:val="007850F3"/>
    <w:rsid w:val="0078522A"/>
    <w:rsid w:val="0078567F"/>
    <w:rsid w:val="00785781"/>
    <w:rsid w:val="00785F7B"/>
    <w:rsid w:val="00786193"/>
    <w:rsid w:val="007861E8"/>
    <w:rsid w:val="007863D9"/>
    <w:rsid w:val="00786561"/>
    <w:rsid w:val="00786571"/>
    <w:rsid w:val="00786AE0"/>
    <w:rsid w:val="00786B16"/>
    <w:rsid w:val="00786B7E"/>
    <w:rsid w:val="00786C97"/>
    <w:rsid w:val="00786DB6"/>
    <w:rsid w:val="00786E87"/>
    <w:rsid w:val="007872BF"/>
    <w:rsid w:val="007873E0"/>
    <w:rsid w:val="00787458"/>
    <w:rsid w:val="0078753A"/>
    <w:rsid w:val="00787642"/>
    <w:rsid w:val="00787958"/>
    <w:rsid w:val="00787A0A"/>
    <w:rsid w:val="00787D98"/>
    <w:rsid w:val="00787FC0"/>
    <w:rsid w:val="0079015A"/>
    <w:rsid w:val="00790199"/>
    <w:rsid w:val="0079024B"/>
    <w:rsid w:val="00790262"/>
    <w:rsid w:val="0079038C"/>
    <w:rsid w:val="00790427"/>
    <w:rsid w:val="007904A4"/>
    <w:rsid w:val="007905EF"/>
    <w:rsid w:val="007906A3"/>
    <w:rsid w:val="0079076E"/>
    <w:rsid w:val="00790876"/>
    <w:rsid w:val="00790BC2"/>
    <w:rsid w:val="00791312"/>
    <w:rsid w:val="007914DF"/>
    <w:rsid w:val="00791594"/>
    <w:rsid w:val="0079171D"/>
    <w:rsid w:val="00791E07"/>
    <w:rsid w:val="00791F16"/>
    <w:rsid w:val="00791FEE"/>
    <w:rsid w:val="007921FC"/>
    <w:rsid w:val="00792802"/>
    <w:rsid w:val="00792817"/>
    <w:rsid w:val="0079290E"/>
    <w:rsid w:val="00792918"/>
    <w:rsid w:val="0079296E"/>
    <w:rsid w:val="00792BB2"/>
    <w:rsid w:val="00792BD5"/>
    <w:rsid w:val="00792DFB"/>
    <w:rsid w:val="00792E3B"/>
    <w:rsid w:val="007930A0"/>
    <w:rsid w:val="007932E2"/>
    <w:rsid w:val="007932FB"/>
    <w:rsid w:val="00793300"/>
    <w:rsid w:val="00793355"/>
    <w:rsid w:val="00793950"/>
    <w:rsid w:val="00793AC2"/>
    <w:rsid w:val="00793B2A"/>
    <w:rsid w:val="00793E19"/>
    <w:rsid w:val="00793E55"/>
    <w:rsid w:val="00793FA1"/>
    <w:rsid w:val="00793FA3"/>
    <w:rsid w:val="0079447A"/>
    <w:rsid w:val="00794562"/>
    <w:rsid w:val="00794583"/>
    <w:rsid w:val="0079497B"/>
    <w:rsid w:val="00794ADB"/>
    <w:rsid w:val="00794AF1"/>
    <w:rsid w:val="00794CA0"/>
    <w:rsid w:val="00794D01"/>
    <w:rsid w:val="007954E7"/>
    <w:rsid w:val="00795535"/>
    <w:rsid w:val="00795799"/>
    <w:rsid w:val="00795958"/>
    <w:rsid w:val="00795C64"/>
    <w:rsid w:val="00795D00"/>
    <w:rsid w:val="00795DB3"/>
    <w:rsid w:val="00795ED7"/>
    <w:rsid w:val="00795FCA"/>
    <w:rsid w:val="00796169"/>
    <w:rsid w:val="007961AF"/>
    <w:rsid w:val="007961FB"/>
    <w:rsid w:val="0079623D"/>
    <w:rsid w:val="0079636E"/>
    <w:rsid w:val="0079655E"/>
    <w:rsid w:val="00796786"/>
    <w:rsid w:val="00796983"/>
    <w:rsid w:val="007969F4"/>
    <w:rsid w:val="00796B74"/>
    <w:rsid w:val="00796BF1"/>
    <w:rsid w:val="00796C30"/>
    <w:rsid w:val="00796CD6"/>
    <w:rsid w:val="00796D0B"/>
    <w:rsid w:val="00797285"/>
    <w:rsid w:val="007973CC"/>
    <w:rsid w:val="0079747B"/>
    <w:rsid w:val="00797604"/>
    <w:rsid w:val="00797692"/>
    <w:rsid w:val="007976D4"/>
    <w:rsid w:val="00797701"/>
    <w:rsid w:val="007977AA"/>
    <w:rsid w:val="00797936"/>
    <w:rsid w:val="00797BA4"/>
    <w:rsid w:val="00797CC7"/>
    <w:rsid w:val="00797DAA"/>
    <w:rsid w:val="00797DC5"/>
    <w:rsid w:val="007A00EB"/>
    <w:rsid w:val="007A00F9"/>
    <w:rsid w:val="007A0309"/>
    <w:rsid w:val="007A04C4"/>
    <w:rsid w:val="007A0A62"/>
    <w:rsid w:val="007A0EEF"/>
    <w:rsid w:val="007A1211"/>
    <w:rsid w:val="007A1303"/>
    <w:rsid w:val="007A13CB"/>
    <w:rsid w:val="007A1690"/>
    <w:rsid w:val="007A1705"/>
    <w:rsid w:val="007A1AEF"/>
    <w:rsid w:val="007A1CFA"/>
    <w:rsid w:val="007A1F64"/>
    <w:rsid w:val="007A1F9A"/>
    <w:rsid w:val="007A200F"/>
    <w:rsid w:val="007A208B"/>
    <w:rsid w:val="007A2146"/>
    <w:rsid w:val="007A25AB"/>
    <w:rsid w:val="007A2643"/>
    <w:rsid w:val="007A26CD"/>
    <w:rsid w:val="007A2709"/>
    <w:rsid w:val="007A275B"/>
    <w:rsid w:val="007A2919"/>
    <w:rsid w:val="007A29C2"/>
    <w:rsid w:val="007A29DF"/>
    <w:rsid w:val="007A2A1B"/>
    <w:rsid w:val="007A2A50"/>
    <w:rsid w:val="007A2E92"/>
    <w:rsid w:val="007A2E94"/>
    <w:rsid w:val="007A3002"/>
    <w:rsid w:val="007A3184"/>
    <w:rsid w:val="007A31DC"/>
    <w:rsid w:val="007A31F5"/>
    <w:rsid w:val="007A328A"/>
    <w:rsid w:val="007A34BA"/>
    <w:rsid w:val="007A38D2"/>
    <w:rsid w:val="007A393D"/>
    <w:rsid w:val="007A3BCD"/>
    <w:rsid w:val="007A3D9B"/>
    <w:rsid w:val="007A415E"/>
    <w:rsid w:val="007A436B"/>
    <w:rsid w:val="007A4648"/>
    <w:rsid w:val="007A46E1"/>
    <w:rsid w:val="007A470C"/>
    <w:rsid w:val="007A4A8B"/>
    <w:rsid w:val="007A4B7C"/>
    <w:rsid w:val="007A4D86"/>
    <w:rsid w:val="007A4F59"/>
    <w:rsid w:val="007A4F69"/>
    <w:rsid w:val="007A4F7B"/>
    <w:rsid w:val="007A51B3"/>
    <w:rsid w:val="007A52B2"/>
    <w:rsid w:val="007A5361"/>
    <w:rsid w:val="007A54C5"/>
    <w:rsid w:val="007A54E5"/>
    <w:rsid w:val="007A55BD"/>
    <w:rsid w:val="007A577B"/>
    <w:rsid w:val="007A57F4"/>
    <w:rsid w:val="007A584F"/>
    <w:rsid w:val="007A58CF"/>
    <w:rsid w:val="007A59D4"/>
    <w:rsid w:val="007A5B06"/>
    <w:rsid w:val="007A6023"/>
    <w:rsid w:val="007A615D"/>
    <w:rsid w:val="007A6391"/>
    <w:rsid w:val="007A67CA"/>
    <w:rsid w:val="007A68CF"/>
    <w:rsid w:val="007A6BDA"/>
    <w:rsid w:val="007A6C52"/>
    <w:rsid w:val="007A6CA9"/>
    <w:rsid w:val="007A6EA3"/>
    <w:rsid w:val="007A716C"/>
    <w:rsid w:val="007A7471"/>
    <w:rsid w:val="007A74EC"/>
    <w:rsid w:val="007A7647"/>
    <w:rsid w:val="007A7679"/>
    <w:rsid w:val="007A7847"/>
    <w:rsid w:val="007A7964"/>
    <w:rsid w:val="007A7F41"/>
    <w:rsid w:val="007B01FC"/>
    <w:rsid w:val="007B0206"/>
    <w:rsid w:val="007B02D4"/>
    <w:rsid w:val="007B046F"/>
    <w:rsid w:val="007B0480"/>
    <w:rsid w:val="007B0539"/>
    <w:rsid w:val="007B0626"/>
    <w:rsid w:val="007B064B"/>
    <w:rsid w:val="007B07ED"/>
    <w:rsid w:val="007B0E08"/>
    <w:rsid w:val="007B0E87"/>
    <w:rsid w:val="007B0F10"/>
    <w:rsid w:val="007B0FAB"/>
    <w:rsid w:val="007B0FC6"/>
    <w:rsid w:val="007B10CB"/>
    <w:rsid w:val="007B10F4"/>
    <w:rsid w:val="007B12F0"/>
    <w:rsid w:val="007B1501"/>
    <w:rsid w:val="007B158B"/>
    <w:rsid w:val="007B174F"/>
    <w:rsid w:val="007B17A7"/>
    <w:rsid w:val="007B17EF"/>
    <w:rsid w:val="007B17FE"/>
    <w:rsid w:val="007B1953"/>
    <w:rsid w:val="007B19FB"/>
    <w:rsid w:val="007B1AD2"/>
    <w:rsid w:val="007B1AED"/>
    <w:rsid w:val="007B1F12"/>
    <w:rsid w:val="007B1F8D"/>
    <w:rsid w:val="007B22A4"/>
    <w:rsid w:val="007B22B8"/>
    <w:rsid w:val="007B236E"/>
    <w:rsid w:val="007B24B0"/>
    <w:rsid w:val="007B2694"/>
    <w:rsid w:val="007B27EB"/>
    <w:rsid w:val="007B28FB"/>
    <w:rsid w:val="007B2968"/>
    <w:rsid w:val="007B29BC"/>
    <w:rsid w:val="007B2BBC"/>
    <w:rsid w:val="007B2BD0"/>
    <w:rsid w:val="007B2E03"/>
    <w:rsid w:val="007B3014"/>
    <w:rsid w:val="007B3120"/>
    <w:rsid w:val="007B32A3"/>
    <w:rsid w:val="007B3592"/>
    <w:rsid w:val="007B3594"/>
    <w:rsid w:val="007B382B"/>
    <w:rsid w:val="007B3937"/>
    <w:rsid w:val="007B39BA"/>
    <w:rsid w:val="007B3AB3"/>
    <w:rsid w:val="007B3B17"/>
    <w:rsid w:val="007B3B18"/>
    <w:rsid w:val="007B3BB5"/>
    <w:rsid w:val="007B3CA5"/>
    <w:rsid w:val="007B3DDA"/>
    <w:rsid w:val="007B3DF2"/>
    <w:rsid w:val="007B4131"/>
    <w:rsid w:val="007B41B6"/>
    <w:rsid w:val="007B4221"/>
    <w:rsid w:val="007B45DE"/>
    <w:rsid w:val="007B4625"/>
    <w:rsid w:val="007B46D0"/>
    <w:rsid w:val="007B4736"/>
    <w:rsid w:val="007B4C76"/>
    <w:rsid w:val="007B4D90"/>
    <w:rsid w:val="007B4EE4"/>
    <w:rsid w:val="007B50A4"/>
    <w:rsid w:val="007B52F8"/>
    <w:rsid w:val="007B56DB"/>
    <w:rsid w:val="007B56F3"/>
    <w:rsid w:val="007B576A"/>
    <w:rsid w:val="007B57A3"/>
    <w:rsid w:val="007B57BE"/>
    <w:rsid w:val="007B5811"/>
    <w:rsid w:val="007B58E8"/>
    <w:rsid w:val="007B59CD"/>
    <w:rsid w:val="007B5D9B"/>
    <w:rsid w:val="007B5F20"/>
    <w:rsid w:val="007B603F"/>
    <w:rsid w:val="007B6114"/>
    <w:rsid w:val="007B62A5"/>
    <w:rsid w:val="007B63D5"/>
    <w:rsid w:val="007B6465"/>
    <w:rsid w:val="007B6707"/>
    <w:rsid w:val="007B6714"/>
    <w:rsid w:val="007B68E2"/>
    <w:rsid w:val="007B6918"/>
    <w:rsid w:val="007B6A87"/>
    <w:rsid w:val="007B6E00"/>
    <w:rsid w:val="007B7055"/>
    <w:rsid w:val="007B7444"/>
    <w:rsid w:val="007B7548"/>
    <w:rsid w:val="007B77E2"/>
    <w:rsid w:val="007B7914"/>
    <w:rsid w:val="007B7947"/>
    <w:rsid w:val="007B7A57"/>
    <w:rsid w:val="007B7C1D"/>
    <w:rsid w:val="007B7D92"/>
    <w:rsid w:val="007B7F0C"/>
    <w:rsid w:val="007C0067"/>
    <w:rsid w:val="007C02A1"/>
    <w:rsid w:val="007C032D"/>
    <w:rsid w:val="007C0440"/>
    <w:rsid w:val="007C0543"/>
    <w:rsid w:val="007C05BA"/>
    <w:rsid w:val="007C0756"/>
    <w:rsid w:val="007C09E8"/>
    <w:rsid w:val="007C0ABD"/>
    <w:rsid w:val="007C0B67"/>
    <w:rsid w:val="007C0C1D"/>
    <w:rsid w:val="007C0C51"/>
    <w:rsid w:val="007C0D97"/>
    <w:rsid w:val="007C0E84"/>
    <w:rsid w:val="007C0FA2"/>
    <w:rsid w:val="007C104F"/>
    <w:rsid w:val="007C10F8"/>
    <w:rsid w:val="007C126A"/>
    <w:rsid w:val="007C1359"/>
    <w:rsid w:val="007C143B"/>
    <w:rsid w:val="007C1614"/>
    <w:rsid w:val="007C1659"/>
    <w:rsid w:val="007C1971"/>
    <w:rsid w:val="007C1A09"/>
    <w:rsid w:val="007C1B4C"/>
    <w:rsid w:val="007C1BAF"/>
    <w:rsid w:val="007C1F3A"/>
    <w:rsid w:val="007C2057"/>
    <w:rsid w:val="007C227B"/>
    <w:rsid w:val="007C22D7"/>
    <w:rsid w:val="007C2319"/>
    <w:rsid w:val="007C23C0"/>
    <w:rsid w:val="007C249D"/>
    <w:rsid w:val="007C2605"/>
    <w:rsid w:val="007C275F"/>
    <w:rsid w:val="007C2891"/>
    <w:rsid w:val="007C28DD"/>
    <w:rsid w:val="007C28F6"/>
    <w:rsid w:val="007C2A13"/>
    <w:rsid w:val="007C2BBB"/>
    <w:rsid w:val="007C2C44"/>
    <w:rsid w:val="007C2CE2"/>
    <w:rsid w:val="007C2F98"/>
    <w:rsid w:val="007C3045"/>
    <w:rsid w:val="007C3186"/>
    <w:rsid w:val="007C325B"/>
    <w:rsid w:val="007C3283"/>
    <w:rsid w:val="007C33E6"/>
    <w:rsid w:val="007C3449"/>
    <w:rsid w:val="007C349E"/>
    <w:rsid w:val="007C34EC"/>
    <w:rsid w:val="007C3553"/>
    <w:rsid w:val="007C3595"/>
    <w:rsid w:val="007C3760"/>
    <w:rsid w:val="007C378B"/>
    <w:rsid w:val="007C3E3F"/>
    <w:rsid w:val="007C3E94"/>
    <w:rsid w:val="007C3F27"/>
    <w:rsid w:val="007C40AD"/>
    <w:rsid w:val="007C4187"/>
    <w:rsid w:val="007C4199"/>
    <w:rsid w:val="007C420D"/>
    <w:rsid w:val="007C4232"/>
    <w:rsid w:val="007C427F"/>
    <w:rsid w:val="007C4316"/>
    <w:rsid w:val="007C4823"/>
    <w:rsid w:val="007C4A3E"/>
    <w:rsid w:val="007C4A7B"/>
    <w:rsid w:val="007C4AD5"/>
    <w:rsid w:val="007C4AFA"/>
    <w:rsid w:val="007C4BCE"/>
    <w:rsid w:val="007C4C52"/>
    <w:rsid w:val="007C4DA3"/>
    <w:rsid w:val="007C4E62"/>
    <w:rsid w:val="007C4F17"/>
    <w:rsid w:val="007C5595"/>
    <w:rsid w:val="007C55AC"/>
    <w:rsid w:val="007C56BF"/>
    <w:rsid w:val="007C57D7"/>
    <w:rsid w:val="007C57DF"/>
    <w:rsid w:val="007C58BA"/>
    <w:rsid w:val="007C5C53"/>
    <w:rsid w:val="007C5D6C"/>
    <w:rsid w:val="007C5DA6"/>
    <w:rsid w:val="007C5E73"/>
    <w:rsid w:val="007C5E7F"/>
    <w:rsid w:val="007C615A"/>
    <w:rsid w:val="007C61F1"/>
    <w:rsid w:val="007C660C"/>
    <w:rsid w:val="007C6674"/>
    <w:rsid w:val="007C667B"/>
    <w:rsid w:val="007C675F"/>
    <w:rsid w:val="007C6768"/>
    <w:rsid w:val="007C67B5"/>
    <w:rsid w:val="007C67F9"/>
    <w:rsid w:val="007C6892"/>
    <w:rsid w:val="007C68A3"/>
    <w:rsid w:val="007C68A6"/>
    <w:rsid w:val="007C6ADD"/>
    <w:rsid w:val="007C6B77"/>
    <w:rsid w:val="007C6C7E"/>
    <w:rsid w:val="007C6E87"/>
    <w:rsid w:val="007C70B7"/>
    <w:rsid w:val="007C7350"/>
    <w:rsid w:val="007C740E"/>
    <w:rsid w:val="007C74AE"/>
    <w:rsid w:val="007C74FA"/>
    <w:rsid w:val="007C7518"/>
    <w:rsid w:val="007C7789"/>
    <w:rsid w:val="007C78C3"/>
    <w:rsid w:val="007C793F"/>
    <w:rsid w:val="007C7AF5"/>
    <w:rsid w:val="007C7C66"/>
    <w:rsid w:val="007C7CC7"/>
    <w:rsid w:val="007C7CEC"/>
    <w:rsid w:val="007C7D49"/>
    <w:rsid w:val="007C7E91"/>
    <w:rsid w:val="007C7F9F"/>
    <w:rsid w:val="007C7FB0"/>
    <w:rsid w:val="007D01BC"/>
    <w:rsid w:val="007D03CD"/>
    <w:rsid w:val="007D0555"/>
    <w:rsid w:val="007D058E"/>
    <w:rsid w:val="007D0954"/>
    <w:rsid w:val="007D0968"/>
    <w:rsid w:val="007D0A6C"/>
    <w:rsid w:val="007D0C8B"/>
    <w:rsid w:val="007D0D39"/>
    <w:rsid w:val="007D0D69"/>
    <w:rsid w:val="007D0DA3"/>
    <w:rsid w:val="007D0DE4"/>
    <w:rsid w:val="007D0E4F"/>
    <w:rsid w:val="007D0F17"/>
    <w:rsid w:val="007D100B"/>
    <w:rsid w:val="007D10E0"/>
    <w:rsid w:val="007D1582"/>
    <w:rsid w:val="007D15A0"/>
    <w:rsid w:val="007D1758"/>
    <w:rsid w:val="007D19A7"/>
    <w:rsid w:val="007D19D7"/>
    <w:rsid w:val="007D1C2F"/>
    <w:rsid w:val="007D1DC6"/>
    <w:rsid w:val="007D1FC7"/>
    <w:rsid w:val="007D2055"/>
    <w:rsid w:val="007D22C4"/>
    <w:rsid w:val="007D230D"/>
    <w:rsid w:val="007D2448"/>
    <w:rsid w:val="007D2509"/>
    <w:rsid w:val="007D2728"/>
    <w:rsid w:val="007D2769"/>
    <w:rsid w:val="007D28FC"/>
    <w:rsid w:val="007D294C"/>
    <w:rsid w:val="007D2CF5"/>
    <w:rsid w:val="007D2D67"/>
    <w:rsid w:val="007D2F56"/>
    <w:rsid w:val="007D2F7F"/>
    <w:rsid w:val="007D2F90"/>
    <w:rsid w:val="007D3017"/>
    <w:rsid w:val="007D30B2"/>
    <w:rsid w:val="007D3147"/>
    <w:rsid w:val="007D3532"/>
    <w:rsid w:val="007D35E9"/>
    <w:rsid w:val="007D367B"/>
    <w:rsid w:val="007D379D"/>
    <w:rsid w:val="007D3A4B"/>
    <w:rsid w:val="007D3C2B"/>
    <w:rsid w:val="007D3E8B"/>
    <w:rsid w:val="007D4145"/>
    <w:rsid w:val="007D417A"/>
    <w:rsid w:val="007D43C9"/>
    <w:rsid w:val="007D4426"/>
    <w:rsid w:val="007D46DA"/>
    <w:rsid w:val="007D47B1"/>
    <w:rsid w:val="007D488D"/>
    <w:rsid w:val="007D4A0B"/>
    <w:rsid w:val="007D4A54"/>
    <w:rsid w:val="007D4C46"/>
    <w:rsid w:val="007D4C82"/>
    <w:rsid w:val="007D4D28"/>
    <w:rsid w:val="007D4E4F"/>
    <w:rsid w:val="007D4E60"/>
    <w:rsid w:val="007D52C9"/>
    <w:rsid w:val="007D52FE"/>
    <w:rsid w:val="007D5384"/>
    <w:rsid w:val="007D53BB"/>
    <w:rsid w:val="007D5709"/>
    <w:rsid w:val="007D5AED"/>
    <w:rsid w:val="007D5C94"/>
    <w:rsid w:val="007D5E80"/>
    <w:rsid w:val="007D5EE8"/>
    <w:rsid w:val="007D616F"/>
    <w:rsid w:val="007D6175"/>
    <w:rsid w:val="007D61DB"/>
    <w:rsid w:val="007D6200"/>
    <w:rsid w:val="007D6292"/>
    <w:rsid w:val="007D6376"/>
    <w:rsid w:val="007D638A"/>
    <w:rsid w:val="007D666B"/>
    <w:rsid w:val="007D66AB"/>
    <w:rsid w:val="007D66C9"/>
    <w:rsid w:val="007D6722"/>
    <w:rsid w:val="007D678F"/>
    <w:rsid w:val="007D679D"/>
    <w:rsid w:val="007D68AE"/>
    <w:rsid w:val="007D69E5"/>
    <w:rsid w:val="007D6CBB"/>
    <w:rsid w:val="007D6DBB"/>
    <w:rsid w:val="007D6E6D"/>
    <w:rsid w:val="007D6E7B"/>
    <w:rsid w:val="007D6E8D"/>
    <w:rsid w:val="007D6ECF"/>
    <w:rsid w:val="007D70A7"/>
    <w:rsid w:val="007D7628"/>
    <w:rsid w:val="007D7632"/>
    <w:rsid w:val="007D766B"/>
    <w:rsid w:val="007D7736"/>
    <w:rsid w:val="007D7884"/>
    <w:rsid w:val="007D78D1"/>
    <w:rsid w:val="007D7A1D"/>
    <w:rsid w:val="007D7ABB"/>
    <w:rsid w:val="007D7BD9"/>
    <w:rsid w:val="007D7CCB"/>
    <w:rsid w:val="007D7D22"/>
    <w:rsid w:val="007D7DB8"/>
    <w:rsid w:val="007D7DF6"/>
    <w:rsid w:val="007D7E83"/>
    <w:rsid w:val="007D7F07"/>
    <w:rsid w:val="007E00BF"/>
    <w:rsid w:val="007E0104"/>
    <w:rsid w:val="007E0160"/>
    <w:rsid w:val="007E06D4"/>
    <w:rsid w:val="007E087A"/>
    <w:rsid w:val="007E092C"/>
    <w:rsid w:val="007E0B2F"/>
    <w:rsid w:val="007E0CE2"/>
    <w:rsid w:val="007E0E71"/>
    <w:rsid w:val="007E1022"/>
    <w:rsid w:val="007E1030"/>
    <w:rsid w:val="007E105E"/>
    <w:rsid w:val="007E11CF"/>
    <w:rsid w:val="007E1514"/>
    <w:rsid w:val="007E15BB"/>
    <w:rsid w:val="007E19A6"/>
    <w:rsid w:val="007E1AA8"/>
    <w:rsid w:val="007E1AF6"/>
    <w:rsid w:val="007E1B0D"/>
    <w:rsid w:val="007E1C8E"/>
    <w:rsid w:val="007E1C92"/>
    <w:rsid w:val="007E1CFA"/>
    <w:rsid w:val="007E1D5A"/>
    <w:rsid w:val="007E1F5D"/>
    <w:rsid w:val="007E234C"/>
    <w:rsid w:val="007E2790"/>
    <w:rsid w:val="007E280F"/>
    <w:rsid w:val="007E29C7"/>
    <w:rsid w:val="007E30A2"/>
    <w:rsid w:val="007E3110"/>
    <w:rsid w:val="007E3151"/>
    <w:rsid w:val="007E3163"/>
    <w:rsid w:val="007E3206"/>
    <w:rsid w:val="007E32B9"/>
    <w:rsid w:val="007E34D7"/>
    <w:rsid w:val="007E354B"/>
    <w:rsid w:val="007E35FE"/>
    <w:rsid w:val="007E3A05"/>
    <w:rsid w:val="007E3A5D"/>
    <w:rsid w:val="007E3C1F"/>
    <w:rsid w:val="007E3C58"/>
    <w:rsid w:val="007E3E03"/>
    <w:rsid w:val="007E3E36"/>
    <w:rsid w:val="007E3FCD"/>
    <w:rsid w:val="007E3FFC"/>
    <w:rsid w:val="007E4005"/>
    <w:rsid w:val="007E4177"/>
    <w:rsid w:val="007E41E1"/>
    <w:rsid w:val="007E457D"/>
    <w:rsid w:val="007E46DB"/>
    <w:rsid w:val="007E47EF"/>
    <w:rsid w:val="007E48CF"/>
    <w:rsid w:val="007E48D2"/>
    <w:rsid w:val="007E4979"/>
    <w:rsid w:val="007E49BB"/>
    <w:rsid w:val="007E49D1"/>
    <w:rsid w:val="007E4AE8"/>
    <w:rsid w:val="007E4BAE"/>
    <w:rsid w:val="007E4BEA"/>
    <w:rsid w:val="007E4D50"/>
    <w:rsid w:val="007E4E6C"/>
    <w:rsid w:val="007E4EE6"/>
    <w:rsid w:val="007E4EF7"/>
    <w:rsid w:val="007E4F60"/>
    <w:rsid w:val="007E5102"/>
    <w:rsid w:val="007E5376"/>
    <w:rsid w:val="007E53D0"/>
    <w:rsid w:val="007E57F8"/>
    <w:rsid w:val="007E5A4C"/>
    <w:rsid w:val="007E5AFD"/>
    <w:rsid w:val="007E5D30"/>
    <w:rsid w:val="007E5E83"/>
    <w:rsid w:val="007E5F95"/>
    <w:rsid w:val="007E604F"/>
    <w:rsid w:val="007E60F8"/>
    <w:rsid w:val="007E6224"/>
    <w:rsid w:val="007E6329"/>
    <w:rsid w:val="007E650A"/>
    <w:rsid w:val="007E655A"/>
    <w:rsid w:val="007E6574"/>
    <w:rsid w:val="007E6752"/>
    <w:rsid w:val="007E68B7"/>
    <w:rsid w:val="007E69CF"/>
    <w:rsid w:val="007E6B1C"/>
    <w:rsid w:val="007E6B9D"/>
    <w:rsid w:val="007E6D0D"/>
    <w:rsid w:val="007E6D3A"/>
    <w:rsid w:val="007E6E19"/>
    <w:rsid w:val="007E6E1C"/>
    <w:rsid w:val="007E73C2"/>
    <w:rsid w:val="007E7421"/>
    <w:rsid w:val="007E74E2"/>
    <w:rsid w:val="007E75BA"/>
    <w:rsid w:val="007E7668"/>
    <w:rsid w:val="007E7781"/>
    <w:rsid w:val="007E78E6"/>
    <w:rsid w:val="007E78F3"/>
    <w:rsid w:val="007E7B0A"/>
    <w:rsid w:val="007E7EF6"/>
    <w:rsid w:val="007F00FF"/>
    <w:rsid w:val="007F0144"/>
    <w:rsid w:val="007F017F"/>
    <w:rsid w:val="007F01C6"/>
    <w:rsid w:val="007F0546"/>
    <w:rsid w:val="007F0993"/>
    <w:rsid w:val="007F0A26"/>
    <w:rsid w:val="007F0B7C"/>
    <w:rsid w:val="007F0B86"/>
    <w:rsid w:val="007F0BA2"/>
    <w:rsid w:val="007F0DF9"/>
    <w:rsid w:val="007F0E19"/>
    <w:rsid w:val="007F0EC7"/>
    <w:rsid w:val="007F0F3A"/>
    <w:rsid w:val="007F116D"/>
    <w:rsid w:val="007F11D0"/>
    <w:rsid w:val="007F14BB"/>
    <w:rsid w:val="007F156A"/>
    <w:rsid w:val="007F1570"/>
    <w:rsid w:val="007F1B4D"/>
    <w:rsid w:val="007F1C23"/>
    <w:rsid w:val="007F1CBB"/>
    <w:rsid w:val="007F1CD2"/>
    <w:rsid w:val="007F1D22"/>
    <w:rsid w:val="007F1EB1"/>
    <w:rsid w:val="007F1EE1"/>
    <w:rsid w:val="007F1EED"/>
    <w:rsid w:val="007F1F64"/>
    <w:rsid w:val="007F242F"/>
    <w:rsid w:val="007F2631"/>
    <w:rsid w:val="007F2803"/>
    <w:rsid w:val="007F2B20"/>
    <w:rsid w:val="007F2C84"/>
    <w:rsid w:val="007F2CAD"/>
    <w:rsid w:val="007F2CB6"/>
    <w:rsid w:val="007F2DD2"/>
    <w:rsid w:val="007F2E64"/>
    <w:rsid w:val="007F2F5F"/>
    <w:rsid w:val="007F30B2"/>
    <w:rsid w:val="007F3434"/>
    <w:rsid w:val="007F3639"/>
    <w:rsid w:val="007F3920"/>
    <w:rsid w:val="007F39F0"/>
    <w:rsid w:val="007F3B6D"/>
    <w:rsid w:val="007F3B7E"/>
    <w:rsid w:val="007F3FDC"/>
    <w:rsid w:val="007F4292"/>
    <w:rsid w:val="007F4376"/>
    <w:rsid w:val="007F4548"/>
    <w:rsid w:val="007F4585"/>
    <w:rsid w:val="007F477C"/>
    <w:rsid w:val="007F495F"/>
    <w:rsid w:val="007F4B68"/>
    <w:rsid w:val="007F4BB1"/>
    <w:rsid w:val="007F4D75"/>
    <w:rsid w:val="007F4DAF"/>
    <w:rsid w:val="007F4F04"/>
    <w:rsid w:val="007F50F1"/>
    <w:rsid w:val="007F51FF"/>
    <w:rsid w:val="007F526A"/>
    <w:rsid w:val="007F548D"/>
    <w:rsid w:val="007F5572"/>
    <w:rsid w:val="007F577A"/>
    <w:rsid w:val="007F57EB"/>
    <w:rsid w:val="007F5D5A"/>
    <w:rsid w:val="007F5DDF"/>
    <w:rsid w:val="007F5E26"/>
    <w:rsid w:val="007F5F74"/>
    <w:rsid w:val="007F60D6"/>
    <w:rsid w:val="007F60F1"/>
    <w:rsid w:val="007F6110"/>
    <w:rsid w:val="007F615C"/>
    <w:rsid w:val="007F623C"/>
    <w:rsid w:val="007F638D"/>
    <w:rsid w:val="007F6636"/>
    <w:rsid w:val="007F6778"/>
    <w:rsid w:val="007F67AF"/>
    <w:rsid w:val="007F6B06"/>
    <w:rsid w:val="007F6C3E"/>
    <w:rsid w:val="007F6D47"/>
    <w:rsid w:val="007F6E70"/>
    <w:rsid w:val="007F6F8F"/>
    <w:rsid w:val="007F72A3"/>
    <w:rsid w:val="007F74B8"/>
    <w:rsid w:val="007F7506"/>
    <w:rsid w:val="007F7526"/>
    <w:rsid w:val="007F780C"/>
    <w:rsid w:val="007F782A"/>
    <w:rsid w:val="007F7BD7"/>
    <w:rsid w:val="007F7EC1"/>
    <w:rsid w:val="007F7FDC"/>
    <w:rsid w:val="00800114"/>
    <w:rsid w:val="00800282"/>
    <w:rsid w:val="008003E9"/>
    <w:rsid w:val="00800467"/>
    <w:rsid w:val="00800649"/>
    <w:rsid w:val="008006F9"/>
    <w:rsid w:val="0080082F"/>
    <w:rsid w:val="00800966"/>
    <w:rsid w:val="008009D6"/>
    <w:rsid w:val="00800BEE"/>
    <w:rsid w:val="00800BF6"/>
    <w:rsid w:val="00800BFA"/>
    <w:rsid w:val="008010B5"/>
    <w:rsid w:val="0080134E"/>
    <w:rsid w:val="0080140E"/>
    <w:rsid w:val="00801580"/>
    <w:rsid w:val="00801604"/>
    <w:rsid w:val="0080160D"/>
    <w:rsid w:val="0080173D"/>
    <w:rsid w:val="00801901"/>
    <w:rsid w:val="00801DD6"/>
    <w:rsid w:val="0080218E"/>
    <w:rsid w:val="0080225A"/>
    <w:rsid w:val="00802934"/>
    <w:rsid w:val="00802941"/>
    <w:rsid w:val="00802B39"/>
    <w:rsid w:val="00802D2B"/>
    <w:rsid w:val="00802FA9"/>
    <w:rsid w:val="00803030"/>
    <w:rsid w:val="008033DC"/>
    <w:rsid w:val="00803599"/>
    <w:rsid w:val="008036BA"/>
    <w:rsid w:val="008037AD"/>
    <w:rsid w:val="00803D0F"/>
    <w:rsid w:val="00803DA2"/>
    <w:rsid w:val="00803E42"/>
    <w:rsid w:val="00803EE2"/>
    <w:rsid w:val="00803F9E"/>
    <w:rsid w:val="008041B2"/>
    <w:rsid w:val="008043AD"/>
    <w:rsid w:val="0080445A"/>
    <w:rsid w:val="008045D9"/>
    <w:rsid w:val="008046D5"/>
    <w:rsid w:val="0080474F"/>
    <w:rsid w:val="00804ACB"/>
    <w:rsid w:val="00804C2A"/>
    <w:rsid w:val="00804C94"/>
    <w:rsid w:val="00804E0C"/>
    <w:rsid w:val="00804F31"/>
    <w:rsid w:val="00805070"/>
    <w:rsid w:val="00805218"/>
    <w:rsid w:val="00805292"/>
    <w:rsid w:val="0080535A"/>
    <w:rsid w:val="00805427"/>
    <w:rsid w:val="0080559D"/>
    <w:rsid w:val="00805703"/>
    <w:rsid w:val="0080585F"/>
    <w:rsid w:val="00805937"/>
    <w:rsid w:val="008059D9"/>
    <w:rsid w:val="00805AD3"/>
    <w:rsid w:val="00805AD7"/>
    <w:rsid w:val="00805B5B"/>
    <w:rsid w:val="00805C9D"/>
    <w:rsid w:val="00805EF1"/>
    <w:rsid w:val="00805FE9"/>
    <w:rsid w:val="008061D3"/>
    <w:rsid w:val="0080638B"/>
    <w:rsid w:val="0080658C"/>
    <w:rsid w:val="008065AF"/>
    <w:rsid w:val="008066A2"/>
    <w:rsid w:val="00806BCE"/>
    <w:rsid w:val="00806C5A"/>
    <w:rsid w:val="00806E5B"/>
    <w:rsid w:val="00806F94"/>
    <w:rsid w:val="0080711B"/>
    <w:rsid w:val="00807437"/>
    <w:rsid w:val="00807643"/>
    <w:rsid w:val="00807919"/>
    <w:rsid w:val="00807921"/>
    <w:rsid w:val="00807A41"/>
    <w:rsid w:val="00807B0C"/>
    <w:rsid w:val="00807D08"/>
    <w:rsid w:val="00807F08"/>
    <w:rsid w:val="00807FC0"/>
    <w:rsid w:val="00810200"/>
    <w:rsid w:val="00810384"/>
    <w:rsid w:val="0081041F"/>
    <w:rsid w:val="008104A7"/>
    <w:rsid w:val="008106EF"/>
    <w:rsid w:val="008107A0"/>
    <w:rsid w:val="0081097E"/>
    <w:rsid w:val="00810A81"/>
    <w:rsid w:val="00810B73"/>
    <w:rsid w:val="00810C5D"/>
    <w:rsid w:val="00810C76"/>
    <w:rsid w:val="00810F62"/>
    <w:rsid w:val="00810FAD"/>
    <w:rsid w:val="00811486"/>
    <w:rsid w:val="00811559"/>
    <w:rsid w:val="008115C3"/>
    <w:rsid w:val="00811835"/>
    <w:rsid w:val="00811893"/>
    <w:rsid w:val="00811B63"/>
    <w:rsid w:val="00811B84"/>
    <w:rsid w:val="00811BDB"/>
    <w:rsid w:val="00811D5C"/>
    <w:rsid w:val="00811D64"/>
    <w:rsid w:val="00811ECD"/>
    <w:rsid w:val="00811F2A"/>
    <w:rsid w:val="00812010"/>
    <w:rsid w:val="00812018"/>
    <w:rsid w:val="008121B8"/>
    <w:rsid w:val="008122CC"/>
    <w:rsid w:val="008122E4"/>
    <w:rsid w:val="008123A7"/>
    <w:rsid w:val="0081250D"/>
    <w:rsid w:val="008125F4"/>
    <w:rsid w:val="00812630"/>
    <w:rsid w:val="008127F8"/>
    <w:rsid w:val="00812854"/>
    <w:rsid w:val="00812961"/>
    <w:rsid w:val="0081297A"/>
    <w:rsid w:val="008129DB"/>
    <w:rsid w:val="00812B45"/>
    <w:rsid w:val="00812CDA"/>
    <w:rsid w:val="00812D17"/>
    <w:rsid w:val="00812E20"/>
    <w:rsid w:val="00812E63"/>
    <w:rsid w:val="00812F47"/>
    <w:rsid w:val="00812FFC"/>
    <w:rsid w:val="00813226"/>
    <w:rsid w:val="00813336"/>
    <w:rsid w:val="0081335F"/>
    <w:rsid w:val="008133B9"/>
    <w:rsid w:val="0081348B"/>
    <w:rsid w:val="008134A8"/>
    <w:rsid w:val="00813501"/>
    <w:rsid w:val="00813574"/>
    <w:rsid w:val="00813628"/>
    <w:rsid w:val="00813716"/>
    <w:rsid w:val="00813781"/>
    <w:rsid w:val="00813879"/>
    <w:rsid w:val="0081388C"/>
    <w:rsid w:val="00813BE9"/>
    <w:rsid w:val="00813D2D"/>
    <w:rsid w:val="00813D5D"/>
    <w:rsid w:val="00813DFB"/>
    <w:rsid w:val="00813F12"/>
    <w:rsid w:val="00814089"/>
    <w:rsid w:val="00814296"/>
    <w:rsid w:val="008142B5"/>
    <w:rsid w:val="00814445"/>
    <w:rsid w:val="008146CD"/>
    <w:rsid w:val="00815417"/>
    <w:rsid w:val="008155D0"/>
    <w:rsid w:val="00815673"/>
    <w:rsid w:val="0081583D"/>
    <w:rsid w:val="008158DB"/>
    <w:rsid w:val="00815A33"/>
    <w:rsid w:val="00815AED"/>
    <w:rsid w:val="00815B16"/>
    <w:rsid w:val="00815BC0"/>
    <w:rsid w:val="00815C97"/>
    <w:rsid w:val="00815CCF"/>
    <w:rsid w:val="00815CEA"/>
    <w:rsid w:val="00815CF7"/>
    <w:rsid w:val="00815D34"/>
    <w:rsid w:val="00815E2F"/>
    <w:rsid w:val="00815E76"/>
    <w:rsid w:val="00816072"/>
    <w:rsid w:val="00816298"/>
    <w:rsid w:val="00816355"/>
    <w:rsid w:val="0081635A"/>
    <w:rsid w:val="00816453"/>
    <w:rsid w:val="00816617"/>
    <w:rsid w:val="008166DE"/>
    <w:rsid w:val="00816A84"/>
    <w:rsid w:val="00816B60"/>
    <w:rsid w:val="00816DE0"/>
    <w:rsid w:val="00816F86"/>
    <w:rsid w:val="008170EC"/>
    <w:rsid w:val="0081738A"/>
    <w:rsid w:val="0081747C"/>
    <w:rsid w:val="00817587"/>
    <w:rsid w:val="00817777"/>
    <w:rsid w:val="008177A0"/>
    <w:rsid w:val="0081792F"/>
    <w:rsid w:val="00817A59"/>
    <w:rsid w:val="00817AF0"/>
    <w:rsid w:val="00817BDC"/>
    <w:rsid w:val="00817C3F"/>
    <w:rsid w:val="00817E33"/>
    <w:rsid w:val="00817EEA"/>
    <w:rsid w:val="00817F44"/>
    <w:rsid w:val="00820515"/>
    <w:rsid w:val="0082067B"/>
    <w:rsid w:val="00820778"/>
    <w:rsid w:val="00820ABB"/>
    <w:rsid w:val="00820F6B"/>
    <w:rsid w:val="0082125A"/>
    <w:rsid w:val="008212D3"/>
    <w:rsid w:val="0082134F"/>
    <w:rsid w:val="00821502"/>
    <w:rsid w:val="00821539"/>
    <w:rsid w:val="008219EB"/>
    <w:rsid w:val="00821C11"/>
    <w:rsid w:val="00821D5D"/>
    <w:rsid w:val="00821D6B"/>
    <w:rsid w:val="00821E87"/>
    <w:rsid w:val="0082216B"/>
    <w:rsid w:val="00822182"/>
    <w:rsid w:val="008221D9"/>
    <w:rsid w:val="008221E1"/>
    <w:rsid w:val="0082228B"/>
    <w:rsid w:val="008222C0"/>
    <w:rsid w:val="00822501"/>
    <w:rsid w:val="008227E9"/>
    <w:rsid w:val="008229CD"/>
    <w:rsid w:val="00822BBD"/>
    <w:rsid w:val="00822C06"/>
    <w:rsid w:val="00822C0A"/>
    <w:rsid w:val="00822D88"/>
    <w:rsid w:val="00823123"/>
    <w:rsid w:val="008232C4"/>
    <w:rsid w:val="00823426"/>
    <w:rsid w:val="0082342A"/>
    <w:rsid w:val="00823473"/>
    <w:rsid w:val="008234EE"/>
    <w:rsid w:val="008239F8"/>
    <w:rsid w:val="00823ACD"/>
    <w:rsid w:val="00823B1F"/>
    <w:rsid w:val="00823DD6"/>
    <w:rsid w:val="00823EA8"/>
    <w:rsid w:val="00823F66"/>
    <w:rsid w:val="0082439A"/>
    <w:rsid w:val="0082442D"/>
    <w:rsid w:val="008244DC"/>
    <w:rsid w:val="008244F9"/>
    <w:rsid w:val="0082487B"/>
    <w:rsid w:val="008249CE"/>
    <w:rsid w:val="00824C77"/>
    <w:rsid w:val="00824D62"/>
    <w:rsid w:val="00824DD0"/>
    <w:rsid w:val="00824E50"/>
    <w:rsid w:val="00824FF1"/>
    <w:rsid w:val="00824FFE"/>
    <w:rsid w:val="008255C7"/>
    <w:rsid w:val="0082571C"/>
    <w:rsid w:val="008257DE"/>
    <w:rsid w:val="008258E7"/>
    <w:rsid w:val="008259C2"/>
    <w:rsid w:val="008259C8"/>
    <w:rsid w:val="00825B24"/>
    <w:rsid w:val="00825C17"/>
    <w:rsid w:val="00825C36"/>
    <w:rsid w:val="00825DF6"/>
    <w:rsid w:val="00826192"/>
    <w:rsid w:val="008261BF"/>
    <w:rsid w:val="00826291"/>
    <w:rsid w:val="00826390"/>
    <w:rsid w:val="008263D4"/>
    <w:rsid w:val="00826526"/>
    <w:rsid w:val="008269EE"/>
    <w:rsid w:val="00826B2E"/>
    <w:rsid w:val="00826BA7"/>
    <w:rsid w:val="00826EFE"/>
    <w:rsid w:val="00827349"/>
    <w:rsid w:val="00827412"/>
    <w:rsid w:val="00827530"/>
    <w:rsid w:val="008275B7"/>
    <w:rsid w:val="008277B4"/>
    <w:rsid w:val="00827A29"/>
    <w:rsid w:val="00827AB0"/>
    <w:rsid w:val="00827B2F"/>
    <w:rsid w:val="00827B3B"/>
    <w:rsid w:val="00827B47"/>
    <w:rsid w:val="00827C28"/>
    <w:rsid w:val="00827DE3"/>
    <w:rsid w:val="00827F97"/>
    <w:rsid w:val="0083012C"/>
    <w:rsid w:val="00830178"/>
    <w:rsid w:val="00830384"/>
    <w:rsid w:val="008303F3"/>
    <w:rsid w:val="0083043E"/>
    <w:rsid w:val="00830532"/>
    <w:rsid w:val="008305F1"/>
    <w:rsid w:val="008306DC"/>
    <w:rsid w:val="008307A4"/>
    <w:rsid w:val="0083081F"/>
    <w:rsid w:val="0083091C"/>
    <w:rsid w:val="00830953"/>
    <w:rsid w:val="00830AA7"/>
    <w:rsid w:val="00830B49"/>
    <w:rsid w:val="00830C5C"/>
    <w:rsid w:val="00830E8D"/>
    <w:rsid w:val="00830F91"/>
    <w:rsid w:val="008310D9"/>
    <w:rsid w:val="0083118C"/>
    <w:rsid w:val="008311D7"/>
    <w:rsid w:val="00831243"/>
    <w:rsid w:val="0083126E"/>
    <w:rsid w:val="0083141F"/>
    <w:rsid w:val="0083154D"/>
    <w:rsid w:val="008315DF"/>
    <w:rsid w:val="008317DC"/>
    <w:rsid w:val="008318A6"/>
    <w:rsid w:val="00831BAC"/>
    <w:rsid w:val="00831BD5"/>
    <w:rsid w:val="00831FDD"/>
    <w:rsid w:val="00832163"/>
    <w:rsid w:val="008321A7"/>
    <w:rsid w:val="00832264"/>
    <w:rsid w:val="00832301"/>
    <w:rsid w:val="008323B1"/>
    <w:rsid w:val="008324E0"/>
    <w:rsid w:val="00832623"/>
    <w:rsid w:val="008326E7"/>
    <w:rsid w:val="00832965"/>
    <w:rsid w:val="00832A46"/>
    <w:rsid w:val="00832AAA"/>
    <w:rsid w:val="00832CBD"/>
    <w:rsid w:val="00832FB8"/>
    <w:rsid w:val="00833030"/>
    <w:rsid w:val="0083303F"/>
    <w:rsid w:val="00833292"/>
    <w:rsid w:val="0083336A"/>
    <w:rsid w:val="00833399"/>
    <w:rsid w:val="008334F2"/>
    <w:rsid w:val="0083360A"/>
    <w:rsid w:val="008336FF"/>
    <w:rsid w:val="00833715"/>
    <w:rsid w:val="00833899"/>
    <w:rsid w:val="00833A3A"/>
    <w:rsid w:val="00833B61"/>
    <w:rsid w:val="00834322"/>
    <w:rsid w:val="00834323"/>
    <w:rsid w:val="008345B6"/>
    <w:rsid w:val="00834C53"/>
    <w:rsid w:val="00834E99"/>
    <w:rsid w:val="00835028"/>
    <w:rsid w:val="008352B1"/>
    <w:rsid w:val="008352F0"/>
    <w:rsid w:val="008354A6"/>
    <w:rsid w:val="00835651"/>
    <w:rsid w:val="008359E0"/>
    <w:rsid w:val="00835AB2"/>
    <w:rsid w:val="00835ADD"/>
    <w:rsid w:val="00835AE3"/>
    <w:rsid w:val="00835CD4"/>
    <w:rsid w:val="00835CFF"/>
    <w:rsid w:val="00835D63"/>
    <w:rsid w:val="00835DBA"/>
    <w:rsid w:val="00835E7D"/>
    <w:rsid w:val="00835F82"/>
    <w:rsid w:val="00836029"/>
    <w:rsid w:val="00836278"/>
    <w:rsid w:val="00836465"/>
    <w:rsid w:val="008365C3"/>
    <w:rsid w:val="008365EC"/>
    <w:rsid w:val="00836854"/>
    <w:rsid w:val="00836A26"/>
    <w:rsid w:val="00836CDB"/>
    <w:rsid w:val="00836DDE"/>
    <w:rsid w:val="00836EC4"/>
    <w:rsid w:val="00836F12"/>
    <w:rsid w:val="00836F89"/>
    <w:rsid w:val="008370C4"/>
    <w:rsid w:val="00837171"/>
    <w:rsid w:val="008371CE"/>
    <w:rsid w:val="00837560"/>
    <w:rsid w:val="008375C1"/>
    <w:rsid w:val="0083761B"/>
    <w:rsid w:val="00837655"/>
    <w:rsid w:val="00837872"/>
    <w:rsid w:val="00837FC4"/>
    <w:rsid w:val="0084004C"/>
    <w:rsid w:val="00840075"/>
    <w:rsid w:val="0084008F"/>
    <w:rsid w:val="008400C4"/>
    <w:rsid w:val="00840148"/>
    <w:rsid w:val="00840166"/>
    <w:rsid w:val="008403EA"/>
    <w:rsid w:val="008404A0"/>
    <w:rsid w:val="0084068F"/>
    <w:rsid w:val="00840860"/>
    <w:rsid w:val="0084099D"/>
    <w:rsid w:val="00840AF1"/>
    <w:rsid w:val="00840B73"/>
    <w:rsid w:val="00840F91"/>
    <w:rsid w:val="00841360"/>
    <w:rsid w:val="00841570"/>
    <w:rsid w:val="0084178D"/>
    <w:rsid w:val="00841BE6"/>
    <w:rsid w:val="00841C2D"/>
    <w:rsid w:val="00841C79"/>
    <w:rsid w:val="00841D40"/>
    <w:rsid w:val="00841E89"/>
    <w:rsid w:val="00841EBA"/>
    <w:rsid w:val="00842076"/>
    <w:rsid w:val="008420F8"/>
    <w:rsid w:val="008428BD"/>
    <w:rsid w:val="00842A04"/>
    <w:rsid w:val="00842B8B"/>
    <w:rsid w:val="00842C40"/>
    <w:rsid w:val="00843005"/>
    <w:rsid w:val="008430FD"/>
    <w:rsid w:val="00843341"/>
    <w:rsid w:val="00843384"/>
    <w:rsid w:val="0084346E"/>
    <w:rsid w:val="00843488"/>
    <w:rsid w:val="00843502"/>
    <w:rsid w:val="00843724"/>
    <w:rsid w:val="0084379C"/>
    <w:rsid w:val="00843AEA"/>
    <w:rsid w:val="00843E3F"/>
    <w:rsid w:val="00843E9C"/>
    <w:rsid w:val="00844069"/>
    <w:rsid w:val="008441F8"/>
    <w:rsid w:val="008442CB"/>
    <w:rsid w:val="00844386"/>
    <w:rsid w:val="00844399"/>
    <w:rsid w:val="008443E7"/>
    <w:rsid w:val="008443F3"/>
    <w:rsid w:val="0084458F"/>
    <w:rsid w:val="00844712"/>
    <w:rsid w:val="00844764"/>
    <w:rsid w:val="0084479A"/>
    <w:rsid w:val="008447AD"/>
    <w:rsid w:val="008447B5"/>
    <w:rsid w:val="008447C5"/>
    <w:rsid w:val="008447CF"/>
    <w:rsid w:val="0084496A"/>
    <w:rsid w:val="00844B4E"/>
    <w:rsid w:val="00844E5A"/>
    <w:rsid w:val="00844E71"/>
    <w:rsid w:val="00844EE9"/>
    <w:rsid w:val="00844F1A"/>
    <w:rsid w:val="00845004"/>
    <w:rsid w:val="00845095"/>
    <w:rsid w:val="008450CE"/>
    <w:rsid w:val="00845255"/>
    <w:rsid w:val="00845427"/>
    <w:rsid w:val="0084544C"/>
    <w:rsid w:val="00845541"/>
    <w:rsid w:val="008456B3"/>
    <w:rsid w:val="00845729"/>
    <w:rsid w:val="00845A8D"/>
    <w:rsid w:val="00845CA0"/>
    <w:rsid w:val="00845D1A"/>
    <w:rsid w:val="00845F12"/>
    <w:rsid w:val="00845FCF"/>
    <w:rsid w:val="008460EC"/>
    <w:rsid w:val="008461B7"/>
    <w:rsid w:val="0084631E"/>
    <w:rsid w:val="0084662C"/>
    <w:rsid w:val="008466A5"/>
    <w:rsid w:val="008467D2"/>
    <w:rsid w:val="008469CB"/>
    <w:rsid w:val="00846B4C"/>
    <w:rsid w:val="00846BA6"/>
    <w:rsid w:val="00846C46"/>
    <w:rsid w:val="00846D20"/>
    <w:rsid w:val="00846D26"/>
    <w:rsid w:val="00846D43"/>
    <w:rsid w:val="00847058"/>
    <w:rsid w:val="008471B8"/>
    <w:rsid w:val="00847352"/>
    <w:rsid w:val="008475F8"/>
    <w:rsid w:val="00847613"/>
    <w:rsid w:val="00847ABC"/>
    <w:rsid w:val="0085033A"/>
    <w:rsid w:val="0085033C"/>
    <w:rsid w:val="00850388"/>
    <w:rsid w:val="00850425"/>
    <w:rsid w:val="00850495"/>
    <w:rsid w:val="008506C5"/>
    <w:rsid w:val="00850847"/>
    <w:rsid w:val="008508DF"/>
    <w:rsid w:val="00850A9C"/>
    <w:rsid w:val="00850D80"/>
    <w:rsid w:val="00850DC5"/>
    <w:rsid w:val="00850F97"/>
    <w:rsid w:val="0085100B"/>
    <w:rsid w:val="008510D9"/>
    <w:rsid w:val="00851151"/>
    <w:rsid w:val="0085119A"/>
    <w:rsid w:val="008514DB"/>
    <w:rsid w:val="008515B1"/>
    <w:rsid w:val="0085160D"/>
    <w:rsid w:val="0085197C"/>
    <w:rsid w:val="008519EA"/>
    <w:rsid w:val="00851AC7"/>
    <w:rsid w:val="00851B30"/>
    <w:rsid w:val="00851BA3"/>
    <w:rsid w:val="00851C47"/>
    <w:rsid w:val="00851CD6"/>
    <w:rsid w:val="00851E2C"/>
    <w:rsid w:val="00851E8F"/>
    <w:rsid w:val="00851EF3"/>
    <w:rsid w:val="00852726"/>
    <w:rsid w:val="008528B3"/>
    <w:rsid w:val="00852CB9"/>
    <w:rsid w:val="00852D88"/>
    <w:rsid w:val="00852DEE"/>
    <w:rsid w:val="00852ED6"/>
    <w:rsid w:val="00853122"/>
    <w:rsid w:val="00853222"/>
    <w:rsid w:val="0085326B"/>
    <w:rsid w:val="008538DD"/>
    <w:rsid w:val="008539EE"/>
    <w:rsid w:val="00853A10"/>
    <w:rsid w:val="00853B76"/>
    <w:rsid w:val="00853CFF"/>
    <w:rsid w:val="00853F62"/>
    <w:rsid w:val="00853FEE"/>
    <w:rsid w:val="00854039"/>
    <w:rsid w:val="00854081"/>
    <w:rsid w:val="008540AE"/>
    <w:rsid w:val="008540FA"/>
    <w:rsid w:val="00854185"/>
    <w:rsid w:val="008541ED"/>
    <w:rsid w:val="00854577"/>
    <w:rsid w:val="00854586"/>
    <w:rsid w:val="008547D2"/>
    <w:rsid w:val="00854869"/>
    <w:rsid w:val="0085487B"/>
    <w:rsid w:val="008548B2"/>
    <w:rsid w:val="00854928"/>
    <w:rsid w:val="008549D1"/>
    <w:rsid w:val="00854D84"/>
    <w:rsid w:val="008551DC"/>
    <w:rsid w:val="0085559D"/>
    <w:rsid w:val="00855742"/>
    <w:rsid w:val="00855786"/>
    <w:rsid w:val="00855866"/>
    <w:rsid w:val="00855CB2"/>
    <w:rsid w:val="00855D1C"/>
    <w:rsid w:val="00855D42"/>
    <w:rsid w:val="00856023"/>
    <w:rsid w:val="00856026"/>
    <w:rsid w:val="00856040"/>
    <w:rsid w:val="00856081"/>
    <w:rsid w:val="00856588"/>
    <w:rsid w:val="008565B7"/>
    <w:rsid w:val="0085678B"/>
    <w:rsid w:val="008569BE"/>
    <w:rsid w:val="00856E08"/>
    <w:rsid w:val="00856E31"/>
    <w:rsid w:val="00856E42"/>
    <w:rsid w:val="00856E8D"/>
    <w:rsid w:val="00856F7A"/>
    <w:rsid w:val="00857179"/>
    <w:rsid w:val="0085718D"/>
    <w:rsid w:val="00857275"/>
    <w:rsid w:val="00857348"/>
    <w:rsid w:val="00857442"/>
    <w:rsid w:val="008574CF"/>
    <w:rsid w:val="0085763A"/>
    <w:rsid w:val="0085794D"/>
    <w:rsid w:val="00857D52"/>
    <w:rsid w:val="00857DAA"/>
    <w:rsid w:val="00857F1F"/>
    <w:rsid w:val="00860130"/>
    <w:rsid w:val="00860183"/>
    <w:rsid w:val="00860354"/>
    <w:rsid w:val="00860362"/>
    <w:rsid w:val="00860398"/>
    <w:rsid w:val="0086070F"/>
    <w:rsid w:val="0086074E"/>
    <w:rsid w:val="008607DC"/>
    <w:rsid w:val="00860A38"/>
    <w:rsid w:val="00860A3E"/>
    <w:rsid w:val="00860AC1"/>
    <w:rsid w:val="00860C58"/>
    <w:rsid w:val="00860CEC"/>
    <w:rsid w:val="00860F40"/>
    <w:rsid w:val="008611D4"/>
    <w:rsid w:val="00861822"/>
    <w:rsid w:val="00861A5E"/>
    <w:rsid w:val="00861AF1"/>
    <w:rsid w:val="00861B4C"/>
    <w:rsid w:val="00861CF6"/>
    <w:rsid w:val="00861E2F"/>
    <w:rsid w:val="00861EB7"/>
    <w:rsid w:val="008622A3"/>
    <w:rsid w:val="008623CF"/>
    <w:rsid w:val="00862458"/>
    <w:rsid w:val="008628A9"/>
    <w:rsid w:val="0086297F"/>
    <w:rsid w:val="00862C52"/>
    <w:rsid w:val="00863042"/>
    <w:rsid w:val="0086312B"/>
    <w:rsid w:val="00863192"/>
    <w:rsid w:val="0086331A"/>
    <w:rsid w:val="0086347E"/>
    <w:rsid w:val="00863595"/>
    <w:rsid w:val="00863B17"/>
    <w:rsid w:val="00863D42"/>
    <w:rsid w:val="00863D68"/>
    <w:rsid w:val="00863F01"/>
    <w:rsid w:val="00864185"/>
    <w:rsid w:val="008641C1"/>
    <w:rsid w:val="00864237"/>
    <w:rsid w:val="008644BA"/>
    <w:rsid w:val="008644EA"/>
    <w:rsid w:val="008645D2"/>
    <w:rsid w:val="008647C9"/>
    <w:rsid w:val="00864805"/>
    <w:rsid w:val="00864829"/>
    <w:rsid w:val="008648E7"/>
    <w:rsid w:val="008648E8"/>
    <w:rsid w:val="00864D15"/>
    <w:rsid w:val="00864FD2"/>
    <w:rsid w:val="008650C2"/>
    <w:rsid w:val="00865598"/>
    <w:rsid w:val="00865599"/>
    <w:rsid w:val="0086593A"/>
    <w:rsid w:val="00865CB4"/>
    <w:rsid w:val="00865CE8"/>
    <w:rsid w:val="00865F79"/>
    <w:rsid w:val="00866142"/>
    <w:rsid w:val="0086618F"/>
    <w:rsid w:val="008661CD"/>
    <w:rsid w:val="00866347"/>
    <w:rsid w:val="008664F3"/>
    <w:rsid w:val="0086674D"/>
    <w:rsid w:val="00866912"/>
    <w:rsid w:val="008669CA"/>
    <w:rsid w:val="008669EF"/>
    <w:rsid w:val="00866BF2"/>
    <w:rsid w:val="00866CDC"/>
    <w:rsid w:val="00866D61"/>
    <w:rsid w:val="00866DFA"/>
    <w:rsid w:val="00866EA9"/>
    <w:rsid w:val="00866F4E"/>
    <w:rsid w:val="00866F86"/>
    <w:rsid w:val="00867077"/>
    <w:rsid w:val="008673B0"/>
    <w:rsid w:val="00867482"/>
    <w:rsid w:val="0086771F"/>
    <w:rsid w:val="008678C3"/>
    <w:rsid w:val="00867979"/>
    <w:rsid w:val="00867A62"/>
    <w:rsid w:val="00867B1A"/>
    <w:rsid w:val="00867BF8"/>
    <w:rsid w:val="00867C05"/>
    <w:rsid w:val="00867F94"/>
    <w:rsid w:val="00867FD5"/>
    <w:rsid w:val="00867FE9"/>
    <w:rsid w:val="00870068"/>
    <w:rsid w:val="0087049A"/>
    <w:rsid w:val="00870550"/>
    <w:rsid w:val="00870713"/>
    <w:rsid w:val="008707E9"/>
    <w:rsid w:val="0087097A"/>
    <w:rsid w:val="00870C0D"/>
    <w:rsid w:val="008710FA"/>
    <w:rsid w:val="0087122F"/>
    <w:rsid w:val="00871276"/>
    <w:rsid w:val="008712B2"/>
    <w:rsid w:val="00871410"/>
    <w:rsid w:val="0087145A"/>
    <w:rsid w:val="008715D9"/>
    <w:rsid w:val="0087178B"/>
    <w:rsid w:val="00871A80"/>
    <w:rsid w:val="00871AAC"/>
    <w:rsid w:val="00871BB5"/>
    <w:rsid w:val="00871D6D"/>
    <w:rsid w:val="00871DB4"/>
    <w:rsid w:val="00871E03"/>
    <w:rsid w:val="00871FF5"/>
    <w:rsid w:val="0087201A"/>
    <w:rsid w:val="00872144"/>
    <w:rsid w:val="00872239"/>
    <w:rsid w:val="0087229B"/>
    <w:rsid w:val="008722E3"/>
    <w:rsid w:val="0087233E"/>
    <w:rsid w:val="008727BE"/>
    <w:rsid w:val="008728E8"/>
    <w:rsid w:val="00872C74"/>
    <w:rsid w:val="00872CB8"/>
    <w:rsid w:val="008731C8"/>
    <w:rsid w:val="00873412"/>
    <w:rsid w:val="0087369F"/>
    <w:rsid w:val="0087397F"/>
    <w:rsid w:val="00873A86"/>
    <w:rsid w:val="00873BEE"/>
    <w:rsid w:val="00873D73"/>
    <w:rsid w:val="00873F02"/>
    <w:rsid w:val="00873FB8"/>
    <w:rsid w:val="00874198"/>
    <w:rsid w:val="00874323"/>
    <w:rsid w:val="00874589"/>
    <w:rsid w:val="00874744"/>
    <w:rsid w:val="00874943"/>
    <w:rsid w:val="0087495A"/>
    <w:rsid w:val="00874E81"/>
    <w:rsid w:val="008752A2"/>
    <w:rsid w:val="00875332"/>
    <w:rsid w:val="0087574E"/>
    <w:rsid w:val="0087593B"/>
    <w:rsid w:val="00875C1A"/>
    <w:rsid w:val="00875C82"/>
    <w:rsid w:val="00875E1B"/>
    <w:rsid w:val="00875EBD"/>
    <w:rsid w:val="00875F00"/>
    <w:rsid w:val="008761F0"/>
    <w:rsid w:val="0087620A"/>
    <w:rsid w:val="0087630F"/>
    <w:rsid w:val="008763A4"/>
    <w:rsid w:val="008764B3"/>
    <w:rsid w:val="008765D0"/>
    <w:rsid w:val="00876743"/>
    <w:rsid w:val="00876D44"/>
    <w:rsid w:val="00876E12"/>
    <w:rsid w:val="00877057"/>
    <w:rsid w:val="0087708C"/>
    <w:rsid w:val="008774FD"/>
    <w:rsid w:val="0087775C"/>
    <w:rsid w:val="00877773"/>
    <w:rsid w:val="00877BD5"/>
    <w:rsid w:val="00877D96"/>
    <w:rsid w:val="00877E13"/>
    <w:rsid w:val="00877E2D"/>
    <w:rsid w:val="00877FBE"/>
    <w:rsid w:val="00877FD3"/>
    <w:rsid w:val="008802D8"/>
    <w:rsid w:val="00880407"/>
    <w:rsid w:val="00880425"/>
    <w:rsid w:val="0088049A"/>
    <w:rsid w:val="0088060C"/>
    <w:rsid w:val="008806B1"/>
    <w:rsid w:val="0088077C"/>
    <w:rsid w:val="008808C8"/>
    <w:rsid w:val="0088095F"/>
    <w:rsid w:val="00880A66"/>
    <w:rsid w:val="00880A6A"/>
    <w:rsid w:val="00880BC0"/>
    <w:rsid w:val="00880D00"/>
    <w:rsid w:val="00880E28"/>
    <w:rsid w:val="00880E41"/>
    <w:rsid w:val="00880E5F"/>
    <w:rsid w:val="00880F94"/>
    <w:rsid w:val="00881256"/>
    <w:rsid w:val="00881311"/>
    <w:rsid w:val="0088142D"/>
    <w:rsid w:val="008814DD"/>
    <w:rsid w:val="008818DD"/>
    <w:rsid w:val="00881AE0"/>
    <w:rsid w:val="00881CE5"/>
    <w:rsid w:val="00881D1C"/>
    <w:rsid w:val="00881EA1"/>
    <w:rsid w:val="00882047"/>
    <w:rsid w:val="0088214E"/>
    <w:rsid w:val="00882215"/>
    <w:rsid w:val="00882400"/>
    <w:rsid w:val="008824D9"/>
    <w:rsid w:val="008828A7"/>
    <w:rsid w:val="00882924"/>
    <w:rsid w:val="008829AB"/>
    <w:rsid w:val="00882A20"/>
    <w:rsid w:val="00882AD6"/>
    <w:rsid w:val="00882AE6"/>
    <w:rsid w:val="00882B6B"/>
    <w:rsid w:val="00882C8D"/>
    <w:rsid w:val="00882DCD"/>
    <w:rsid w:val="00882DCE"/>
    <w:rsid w:val="00882E5D"/>
    <w:rsid w:val="00882F5D"/>
    <w:rsid w:val="008832C7"/>
    <w:rsid w:val="0088389D"/>
    <w:rsid w:val="008839FA"/>
    <w:rsid w:val="00883D21"/>
    <w:rsid w:val="00883FE1"/>
    <w:rsid w:val="0088405C"/>
    <w:rsid w:val="008842E4"/>
    <w:rsid w:val="008846CB"/>
    <w:rsid w:val="008846EC"/>
    <w:rsid w:val="0088476C"/>
    <w:rsid w:val="008848F7"/>
    <w:rsid w:val="00884A46"/>
    <w:rsid w:val="00884AE7"/>
    <w:rsid w:val="00884C54"/>
    <w:rsid w:val="00884C78"/>
    <w:rsid w:val="00884C8E"/>
    <w:rsid w:val="00884D93"/>
    <w:rsid w:val="00884DFC"/>
    <w:rsid w:val="00884E8F"/>
    <w:rsid w:val="00885112"/>
    <w:rsid w:val="008854A1"/>
    <w:rsid w:val="008854E5"/>
    <w:rsid w:val="00885512"/>
    <w:rsid w:val="008855AB"/>
    <w:rsid w:val="00885663"/>
    <w:rsid w:val="00885730"/>
    <w:rsid w:val="008857D8"/>
    <w:rsid w:val="00885825"/>
    <w:rsid w:val="008858DD"/>
    <w:rsid w:val="00885A81"/>
    <w:rsid w:val="00885C66"/>
    <w:rsid w:val="00885C8F"/>
    <w:rsid w:val="00885D7C"/>
    <w:rsid w:val="00885DAC"/>
    <w:rsid w:val="00885EA8"/>
    <w:rsid w:val="00885EBF"/>
    <w:rsid w:val="00885FD7"/>
    <w:rsid w:val="0088640E"/>
    <w:rsid w:val="008864B8"/>
    <w:rsid w:val="0088656B"/>
    <w:rsid w:val="00886933"/>
    <w:rsid w:val="00886A04"/>
    <w:rsid w:val="00886A58"/>
    <w:rsid w:val="00886CA5"/>
    <w:rsid w:val="00886CD1"/>
    <w:rsid w:val="00886F66"/>
    <w:rsid w:val="008870A7"/>
    <w:rsid w:val="00887223"/>
    <w:rsid w:val="008873DF"/>
    <w:rsid w:val="00887405"/>
    <w:rsid w:val="008874FA"/>
    <w:rsid w:val="00887543"/>
    <w:rsid w:val="0088769E"/>
    <w:rsid w:val="00887779"/>
    <w:rsid w:val="00887878"/>
    <w:rsid w:val="00887A2E"/>
    <w:rsid w:val="00887AB1"/>
    <w:rsid w:val="00887B58"/>
    <w:rsid w:val="00887CD7"/>
    <w:rsid w:val="00887CE7"/>
    <w:rsid w:val="00887D18"/>
    <w:rsid w:val="00887E2B"/>
    <w:rsid w:val="00888D0E"/>
    <w:rsid w:val="0089006A"/>
    <w:rsid w:val="00890085"/>
    <w:rsid w:val="0089039F"/>
    <w:rsid w:val="008903E8"/>
    <w:rsid w:val="008904D6"/>
    <w:rsid w:val="00890591"/>
    <w:rsid w:val="008909C2"/>
    <w:rsid w:val="00890C36"/>
    <w:rsid w:val="00890DDE"/>
    <w:rsid w:val="00890EAE"/>
    <w:rsid w:val="00891260"/>
    <w:rsid w:val="008912E2"/>
    <w:rsid w:val="00891350"/>
    <w:rsid w:val="00891500"/>
    <w:rsid w:val="008915D3"/>
    <w:rsid w:val="008916FC"/>
    <w:rsid w:val="008919FD"/>
    <w:rsid w:val="00891B48"/>
    <w:rsid w:val="00891C90"/>
    <w:rsid w:val="00891D6C"/>
    <w:rsid w:val="00892052"/>
    <w:rsid w:val="00892126"/>
    <w:rsid w:val="0089239A"/>
    <w:rsid w:val="008923BD"/>
    <w:rsid w:val="00892652"/>
    <w:rsid w:val="00892874"/>
    <w:rsid w:val="00892BD5"/>
    <w:rsid w:val="00893041"/>
    <w:rsid w:val="00893100"/>
    <w:rsid w:val="00893113"/>
    <w:rsid w:val="0089381E"/>
    <w:rsid w:val="00893BF7"/>
    <w:rsid w:val="00893CAC"/>
    <w:rsid w:val="00893D17"/>
    <w:rsid w:val="00893D57"/>
    <w:rsid w:val="00893D76"/>
    <w:rsid w:val="00893DB5"/>
    <w:rsid w:val="00893FB1"/>
    <w:rsid w:val="00894148"/>
    <w:rsid w:val="00894165"/>
    <w:rsid w:val="008942D9"/>
    <w:rsid w:val="00894351"/>
    <w:rsid w:val="0089448E"/>
    <w:rsid w:val="00894A76"/>
    <w:rsid w:val="00894B02"/>
    <w:rsid w:val="00894B3A"/>
    <w:rsid w:val="00894B92"/>
    <w:rsid w:val="00894E81"/>
    <w:rsid w:val="00894ED0"/>
    <w:rsid w:val="00894EE3"/>
    <w:rsid w:val="00895024"/>
    <w:rsid w:val="00895077"/>
    <w:rsid w:val="00895162"/>
    <w:rsid w:val="0089518E"/>
    <w:rsid w:val="00895240"/>
    <w:rsid w:val="0089533C"/>
    <w:rsid w:val="00895396"/>
    <w:rsid w:val="00895465"/>
    <w:rsid w:val="008954BD"/>
    <w:rsid w:val="008955CE"/>
    <w:rsid w:val="008956D1"/>
    <w:rsid w:val="00895921"/>
    <w:rsid w:val="008959B3"/>
    <w:rsid w:val="00895E1D"/>
    <w:rsid w:val="00896341"/>
    <w:rsid w:val="008963EB"/>
    <w:rsid w:val="00896469"/>
    <w:rsid w:val="0089689C"/>
    <w:rsid w:val="00896CA1"/>
    <w:rsid w:val="008970EC"/>
    <w:rsid w:val="0089725C"/>
    <w:rsid w:val="008973F3"/>
    <w:rsid w:val="008974B8"/>
    <w:rsid w:val="008974C6"/>
    <w:rsid w:val="008974C9"/>
    <w:rsid w:val="008974EB"/>
    <w:rsid w:val="00897652"/>
    <w:rsid w:val="00897735"/>
    <w:rsid w:val="00897C34"/>
    <w:rsid w:val="00897D02"/>
    <w:rsid w:val="00897EC5"/>
    <w:rsid w:val="008A00A7"/>
    <w:rsid w:val="008A0355"/>
    <w:rsid w:val="008A036F"/>
    <w:rsid w:val="008A0521"/>
    <w:rsid w:val="008A07DC"/>
    <w:rsid w:val="008A07F9"/>
    <w:rsid w:val="008A09CB"/>
    <w:rsid w:val="008A0A9C"/>
    <w:rsid w:val="008A0C49"/>
    <w:rsid w:val="008A0C57"/>
    <w:rsid w:val="008A0C9F"/>
    <w:rsid w:val="008A0D06"/>
    <w:rsid w:val="008A0F5C"/>
    <w:rsid w:val="008A0FA3"/>
    <w:rsid w:val="008A0FEE"/>
    <w:rsid w:val="008A10C5"/>
    <w:rsid w:val="008A117F"/>
    <w:rsid w:val="008A11D3"/>
    <w:rsid w:val="008A15B8"/>
    <w:rsid w:val="008A15E1"/>
    <w:rsid w:val="008A161C"/>
    <w:rsid w:val="008A16A8"/>
    <w:rsid w:val="008A1819"/>
    <w:rsid w:val="008A18E4"/>
    <w:rsid w:val="008A19C8"/>
    <w:rsid w:val="008A19E1"/>
    <w:rsid w:val="008A1C7E"/>
    <w:rsid w:val="008A1E50"/>
    <w:rsid w:val="008A1FBB"/>
    <w:rsid w:val="008A2118"/>
    <w:rsid w:val="008A2137"/>
    <w:rsid w:val="008A21C9"/>
    <w:rsid w:val="008A238D"/>
    <w:rsid w:val="008A23BE"/>
    <w:rsid w:val="008A2450"/>
    <w:rsid w:val="008A2537"/>
    <w:rsid w:val="008A2570"/>
    <w:rsid w:val="008A25A3"/>
    <w:rsid w:val="008A27F5"/>
    <w:rsid w:val="008A2999"/>
    <w:rsid w:val="008A2D1D"/>
    <w:rsid w:val="008A3610"/>
    <w:rsid w:val="008A38B3"/>
    <w:rsid w:val="008A3931"/>
    <w:rsid w:val="008A39A5"/>
    <w:rsid w:val="008A3C58"/>
    <w:rsid w:val="008A3D26"/>
    <w:rsid w:val="008A3D32"/>
    <w:rsid w:val="008A3EE7"/>
    <w:rsid w:val="008A41D1"/>
    <w:rsid w:val="008A437B"/>
    <w:rsid w:val="008A4385"/>
    <w:rsid w:val="008A461A"/>
    <w:rsid w:val="008A463C"/>
    <w:rsid w:val="008A4918"/>
    <w:rsid w:val="008A493C"/>
    <w:rsid w:val="008A4979"/>
    <w:rsid w:val="008A4AEA"/>
    <w:rsid w:val="008A4C36"/>
    <w:rsid w:val="008A4C94"/>
    <w:rsid w:val="008A4DE3"/>
    <w:rsid w:val="008A4EE2"/>
    <w:rsid w:val="008A4F6A"/>
    <w:rsid w:val="008A512F"/>
    <w:rsid w:val="008A5167"/>
    <w:rsid w:val="008A51CB"/>
    <w:rsid w:val="008A51F1"/>
    <w:rsid w:val="008A5318"/>
    <w:rsid w:val="008A53A4"/>
    <w:rsid w:val="008A5604"/>
    <w:rsid w:val="008A560E"/>
    <w:rsid w:val="008A5908"/>
    <w:rsid w:val="008A5944"/>
    <w:rsid w:val="008A5B09"/>
    <w:rsid w:val="008A5CBB"/>
    <w:rsid w:val="008A5E11"/>
    <w:rsid w:val="008A5EC4"/>
    <w:rsid w:val="008A5F26"/>
    <w:rsid w:val="008A6161"/>
    <w:rsid w:val="008A620C"/>
    <w:rsid w:val="008A63FE"/>
    <w:rsid w:val="008A6505"/>
    <w:rsid w:val="008A66B4"/>
    <w:rsid w:val="008A6752"/>
    <w:rsid w:val="008A6859"/>
    <w:rsid w:val="008A6AB2"/>
    <w:rsid w:val="008A6AF9"/>
    <w:rsid w:val="008A6FF8"/>
    <w:rsid w:val="008A71E0"/>
    <w:rsid w:val="008A721D"/>
    <w:rsid w:val="008A775E"/>
    <w:rsid w:val="008A7962"/>
    <w:rsid w:val="008A7B63"/>
    <w:rsid w:val="008A7E2D"/>
    <w:rsid w:val="008A7E2F"/>
    <w:rsid w:val="008A7F2D"/>
    <w:rsid w:val="008A7FF0"/>
    <w:rsid w:val="008B0086"/>
    <w:rsid w:val="008B0112"/>
    <w:rsid w:val="008B017A"/>
    <w:rsid w:val="008B0236"/>
    <w:rsid w:val="008B0384"/>
    <w:rsid w:val="008B03C0"/>
    <w:rsid w:val="008B0455"/>
    <w:rsid w:val="008B058C"/>
    <w:rsid w:val="008B084E"/>
    <w:rsid w:val="008B0929"/>
    <w:rsid w:val="008B0951"/>
    <w:rsid w:val="008B0C5B"/>
    <w:rsid w:val="008B0E23"/>
    <w:rsid w:val="008B0EFE"/>
    <w:rsid w:val="008B1370"/>
    <w:rsid w:val="008B14B6"/>
    <w:rsid w:val="008B14BD"/>
    <w:rsid w:val="008B14E1"/>
    <w:rsid w:val="008B1556"/>
    <w:rsid w:val="008B15DE"/>
    <w:rsid w:val="008B1A94"/>
    <w:rsid w:val="008B1B00"/>
    <w:rsid w:val="008B1B8F"/>
    <w:rsid w:val="008B1C2C"/>
    <w:rsid w:val="008B1C52"/>
    <w:rsid w:val="008B1CE7"/>
    <w:rsid w:val="008B1DA2"/>
    <w:rsid w:val="008B1EA3"/>
    <w:rsid w:val="008B2556"/>
    <w:rsid w:val="008B2673"/>
    <w:rsid w:val="008B2688"/>
    <w:rsid w:val="008B2F1C"/>
    <w:rsid w:val="008B3255"/>
    <w:rsid w:val="008B32BF"/>
    <w:rsid w:val="008B3303"/>
    <w:rsid w:val="008B342A"/>
    <w:rsid w:val="008B3563"/>
    <w:rsid w:val="008B3AF8"/>
    <w:rsid w:val="008B3B17"/>
    <w:rsid w:val="008B3BD2"/>
    <w:rsid w:val="008B3D31"/>
    <w:rsid w:val="008B3F4E"/>
    <w:rsid w:val="008B3FF7"/>
    <w:rsid w:val="008B42E2"/>
    <w:rsid w:val="008B443E"/>
    <w:rsid w:val="008B4584"/>
    <w:rsid w:val="008B4710"/>
    <w:rsid w:val="008B4970"/>
    <w:rsid w:val="008B4998"/>
    <w:rsid w:val="008B4A69"/>
    <w:rsid w:val="008B4A75"/>
    <w:rsid w:val="008B4D05"/>
    <w:rsid w:val="008B538C"/>
    <w:rsid w:val="008B5609"/>
    <w:rsid w:val="008B5658"/>
    <w:rsid w:val="008B565E"/>
    <w:rsid w:val="008B58F7"/>
    <w:rsid w:val="008B5B94"/>
    <w:rsid w:val="008B615A"/>
    <w:rsid w:val="008B647E"/>
    <w:rsid w:val="008B66F7"/>
    <w:rsid w:val="008B673C"/>
    <w:rsid w:val="008B6746"/>
    <w:rsid w:val="008B6857"/>
    <w:rsid w:val="008B687E"/>
    <w:rsid w:val="008B69D8"/>
    <w:rsid w:val="008B6A12"/>
    <w:rsid w:val="008B6B3E"/>
    <w:rsid w:val="008B6B5C"/>
    <w:rsid w:val="008B6BF1"/>
    <w:rsid w:val="008B6E1A"/>
    <w:rsid w:val="008B6F7C"/>
    <w:rsid w:val="008B705A"/>
    <w:rsid w:val="008B716F"/>
    <w:rsid w:val="008B72BB"/>
    <w:rsid w:val="008B737F"/>
    <w:rsid w:val="008B767D"/>
    <w:rsid w:val="008B78A8"/>
    <w:rsid w:val="008B78E4"/>
    <w:rsid w:val="008B78E6"/>
    <w:rsid w:val="008B7999"/>
    <w:rsid w:val="008B7AA0"/>
    <w:rsid w:val="008B7D6B"/>
    <w:rsid w:val="008B7FED"/>
    <w:rsid w:val="008C00EE"/>
    <w:rsid w:val="008C01E3"/>
    <w:rsid w:val="008C0313"/>
    <w:rsid w:val="008C032B"/>
    <w:rsid w:val="008C0443"/>
    <w:rsid w:val="008C0466"/>
    <w:rsid w:val="008C0A9B"/>
    <w:rsid w:val="008C0B0E"/>
    <w:rsid w:val="008C0B20"/>
    <w:rsid w:val="008C0B7A"/>
    <w:rsid w:val="008C0BD5"/>
    <w:rsid w:val="008C0DCB"/>
    <w:rsid w:val="008C0EB5"/>
    <w:rsid w:val="008C11C4"/>
    <w:rsid w:val="008C124E"/>
    <w:rsid w:val="008C126E"/>
    <w:rsid w:val="008C1333"/>
    <w:rsid w:val="008C13EE"/>
    <w:rsid w:val="008C156C"/>
    <w:rsid w:val="008C16EE"/>
    <w:rsid w:val="008C1869"/>
    <w:rsid w:val="008C19AC"/>
    <w:rsid w:val="008C1A72"/>
    <w:rsid w:val="008C1AC4"/>
    <w:rsid w:val="008C1B32"/>
    <w:rsid w:val="008C1D9E"/>
    <w:rsid w:val="008C1EC9"/>
    <w:rsid w:val="008C219A"/>
    <w:rsid w:val="008C2530"/>
    <w:rsid w:val="008C25E9"/>
    <w:rsid w:val="008C2A51"/>
    <w:rsid w:val="008C2A93"/>
    <w:rsid w:val="008C2ABE"/>
    <w:rsid w:val="008C2BDE"/>
    <w:rsid w:val="008C2F87"/>
    <w:rsid w:val="008C30CA"/>
    <w:rsid w:val="008C32AF"/>
    <w:rsid w:val="008C32BB"/>
    <w:rsid w:val="008C34F1"/>
    <w:rsid w:val="008C35C1"/>
    <w:rsid w:val="008C3711"/>
    <w:rsid w:val="008C374F"/>
    <w:rsid w:val="008C3814"/>
    <w:rsid w:val="008C384A"/>
    <w:rsid w:val="008C3AA5"/>
    <w:rsid w:val="008C3B23"/>
    <w:rsid w:val="008C3B44"/>
    <w:rsid w:val="008C3C83"/>
    <w:rsid w:val="008C3E35"/>
    <w:rsid w:val="008C3E61"/>
    <w:rsid w:val="008C3F3A"/>
    <w:rsid w:val="008C4054"/>
    <w:rsid w:val="008C449B"/>
    <w:rsid w:val="008C44AB"/>
    <w:rsid w:val="008C4560"/>
    <w:rsid w:val="008C486D"/>
    <w:rsid w:val="008C4D7A"/>
    <w:rsid w:val="008C5125"/>
    <w:rsid w:val="008C52BC"/>
    <w:rsid w:val="008C53A4"/>
    <w:rsid w:val="008C5445"/>
    <w:rsid w:val="008C56D7"/>
    <w:rsid w:val="008C56D9"/>
    <w:rsid w:val="008C5890"/>
    <w:rsid w:val="008C58E4"/>
    <w:rsid w:val="008C5AE6"/>
    <w:rsid w:val="008C5B62"/>
    <w:rsid w:val="008C5C54"/>
    <w:rsid w:val="008C5E40"/>
    <w:rsid w:val="008C5E8F"/>
    <w:rsid w:val="008C611B"/>
    <w:rsid w:val="008C6305"/>
    <w:rsid w:val="008C6419"/>
    <w:rsid w:val="008C64B8"/>
    <w:rsid w:val="008C656E"/>
    <w:rsid w:val="008C65BB"/>
    <w:rsid w:val="008C669E"/>
    <w:rsid w:val="008C66FE"/>
    <w:rsid w:val="008C692D"/>
    <w:rsid w:val="008C6BC5"/>
    <w:rsid w:val="008C6C15"/>
    <w:rsid w:val="008C6D4F"/>
    <w:rsid w:val="008C6D65"/>
    <w:rsid w:val="008C7039"/>
    <w:rsid w:val="008C7445"/>
    <w:rsid w:val="008C7486"/>
    <w:rsid w:val="008C7579"/>
    <w:rsid w:val="008C76D7"/>
    <w:rsid w:val="008C7722"/>
    <w:rsid w:val="008C7787"/>
    <w:rsid w:val="008C7846"/>
    <w:rsid w:val="008C79AC"/>
    <w:rsid w:val="008C7AC6"/>
    <w:rsid w:val="008C7B16"/>
    <w:rsid w:val="008C7BC3"/>
    <w:rsid w:val="008C7C60"/>
    <w:rsid w:val="008C7D38"/>
    <w:rsid w:val="008C7D93"/>
    <w:rsid w:val="008C7DDF"/>
    <w:rsid w:val="008C7E5C"/>
    <w:rsid w:val="008D0047"/>
    <w:rsid w:val="008D04ED"/>
    <w:rsid w:val="008D0740"/>
    <w:rsid w:val="008D07C9"/>
    <w:rsid w:val="008D0887"/>
    <w:rsid w:val="008D0A10"/>
    <w:rsid w:val="008D0A9C"/>
    <w:rsid w:val="008D0D9F"/>
    <w:rsid w:val="008D10C1"/>
    <w:rsid w:val="008D12FB"/>
    <w:rsid w:val="008D158C"/>
    <w:rsid w:val="008D162D"/>
    <w:rsid w:val="008D16C4"/>
    <w:rsid w:val="008D17E7"/>
    <w:rsid w:val="008D1868"/>
    <w:rsid w:val="008D1C38"/>
    <w:rsid w:val="008D1E7F"/>
    <w:rsid w:val="008D1FBC"/>
    <w:rsid w:val="008D204E"/>
    <w:rsid w:val="008D211E"/>
    <w:rsid w:val="008D22BF"/>
    <w:rsid w:val="008D22F5"/>
    <w:rsid w:val="008D236E"/>
    <w:rsid w:val="008D23E3"/>
    <w:rsid w:val="008D242B"/>
    <w:rsid w:val="008D24B7"/>
    <w:rsid w:val="008D24D2"/>
    <w:rsid w:val="008D25B8"/>
    <w:rsid w:val="008D26C7"/>
    <w:rsid w:val="008D276A"/>
    <w:rsid w:val="008D27CD"/>
    <w:rsid w:val="008D2851"/>
    <w:rsid w:val="008D2A33"/>
    <w:rsid w:val="008D2F74"/>
    <w:rsid w:val="008D3827"/>
    <w:rsid w:val="008D3ABF"/>
    <w:rsid w:val="008D3DF1"/>
    <w:rsid w:val="008D4025"/>
    <w:rsid w:val="008D4258"/>
    <w:rsid w:val="008D4304"/>
    <w:rsid w:val="008D4386"/>
    <w:rsid w:val="008D43BF"/>
    <w:rsid w:val="008D4459"/>
    <w:rsid w:val="008D48F7"/>
    <w:rsid w:val="008D4A5C"/>
    <w:rsid w:val="008D4A86"/>
    <w:rsid w:val="008D4AC1"/>
    <w:rsid w:val="008D4B58"/>
    <w:rsid w:val="008D4C74"/>
    <w:rsid w:val="008D5135"/>
    <w:rsid w:val="008D517E"/>
    <w:rsid w:val="008D520F"/>
    <w:rsid w:val="008D546A"/>
    <w:rsid w:val="008D550C"/>
    <w:rsid w:val="008D55E5"/>
    <w:rsid w:val="008D56A4"/>
    <w:rsid w:val="008D56CD"/>
    <w:rsid w:val="008D57B3"/>
    <w:rsid w:val="008D58BA"/>
    <w:rsid w:val="008D5971"/>
    <w:rsid w:val="008D5A11"/>
    <w:rsid w:val="008D5A88"/>
    <w:rsid w:val="008D5CBD"/>
    <w:rsid w:val="008D5D1E"/>
    <w:rsid w:val="008D5F1A"/>
    <w:rsid w:val="008D60C9"/>
    <w:rsid w:val="008D6145"/>
    <w:rsid w:val="008D648B"/>
    <w:rsid w:val="008D651B"/>
    <w:rsid w:val="008D680E"/>
    <w:rsid w:val="008D689E"/>
    <w:rsid w:val="008D68C9"/>
    <w:rsid w:val="008D6A2D"/>
    <w:rsid w:val="008D6A78"/>
    <w:rsid w:val="008D6BF1"/>
    <w:rsid w:val="008D6DDB"/>
    <w:rsid w:val="008D6DF4"/>
    <w:rsid w:val="008D7179"/>
    <w:rsid w:val="008D7254"/>
    <w:rsid w:val="008D7268"/>
    <w:rsid w:val="008D7306"/>
    <w:rsid w:val="008D7546"/>
    <w:rsid w:val="008D77F0"/>
    <w:rsid w:val="008D783E"/>
    <w:rsid w:val="008D7A35"/>
    <w:rsid w:val="008D7CCA"/>
    <w:rsid w:val="008D7DDA"/>
    <w:rsid w:val="008DE15E"/>
    <w:rsid w:val="008E0074"/>
    <w:rsid w:val="008E0152"/>
    <w:rsid w:val="008E01F9"/>
    <w:rsid w:val="008E029A"/>
    <w:rsid w:val="008E02B1"/>
    <w:rsid w:val="008E02DF"/>
    <w:rsid w:val="008E02F7"/>
    <w:rsid w:val="008E0364"/>
    <w:rsid w:val="008E0734"/>
    <w:rsid w:val="008E0A79"/>
    <w:rsid w:val="008E0A7F"/>
    <w:rsid w:val="008E0CA4"/>
    <w:rsid w:val="008E0D63"/>
    <w:rsid w:val="008E0DAC"/>
    <w:rsid w:val="008E0F8A"/>
    <w:rsid w:val="008E1124"/>
    <w:rsid w:val="008E1646"/>
    <w:rsid w:val="008E1842"/>
    <w:rsid w:val="008E1901"/>
    <w:rsid w:val="008E1AA8"/>
    <w:rsid w:val="008E1D19"/>
    <w:rsid w:val="008E21B5"/>
    <w:rsid w:val="008E2319"/>
    <w:rsid w:val="008E2336"/>
    <w:rsid w:val="008E2341"/>
    <w:rsid w:val="008E24C8"/>
    <w:rsid w:val="008E259A"/>
    <w:rsid w:val="008E2607"/>
    <w:rsid w:val="008E28B8"/>
    <w:rsid w:val="008E2B58"/>
    <w:rsid w:val="008E2D99"/>
    <w:rsid w:val="008E30AF"/>
    <w:rsid w:val="008E30B5"/>
    <w:rsid w:val="008E313B"/>
    <w:rsid w:val="008E32ED"/>
    <w:rsid w:val="008E3382"/>
    <w:rsid w:val="008E3462"/>
    <w:rsid w:val="008E34DC"/>
    <w:rsid w:val="008E3770"/>
    <w:rsid w:val="008E387C"/>
    <w:rsid w:val="008E3A8E"/>
    <w:rsid w:val="008E3A93"/>
    <w:rsid w:val="008E3C9A"/>
    <w:rsid w:val="008E3DBC"/>
    <w:rsid w:val="008E3DF5"/>
    <w:rsid w:val="008E4025"/>
    <w:rsid w:val="008E4071"/>
    <w:rsid w:val="008E4177"/>
    <w:rsid w:val="008E41C5"/>
    <w:rsid w:val="008E4396"/>
    <w:rsid w:val="008E4482"/>
    <w:rsid w:val="008E4683"/>
    <w:rsid w:val="008E48ED"/>
    <w:rsid w:val="008E4E33"/>
    <w:rsid w:val="008E538F"/>
    <w:rsid w:val="008E544D"/>
    <w:rsid w:val="008E55B5"/>
    <w:rsid w:val="008E56C6"/>
    <w:rsid w:val="008E5768"/>
    <w:rsid w:val="008E5845"/>
    <w:rsid w:val="008E5871"/>
    <w:rsid w:val="008E5AEE"/>
    <w:rsid w:val="008E5B4F"/>
    <w:rsid w:val="008E5D69"/>
    <w:rsid w:val="008E5EAB"/>
    <w:rsid w:val="008E6134"/>
    <w:rsid w:val="008E61C5"/>
    <w:rsid w:val="008E62E0"/>
    <w:rsid w:val="008E6464"/>
    <w:rsid w:val="008E64D8"/>
    <w:rsid w:val="008E64EA"/>
    <w:rsid w:val="008E657B"/>
    <w:rsid w:val="008E6706"/>
    <w:rsid w:val="008E6774"/>
    <w:rsid w:val="008E677F"/>
    <w:rsid w:val="008E6D76"/>
    <w:rsid w:val="008E7053"/>
    <w:rsid w:val="008E7081"/>
    <w:rsid w:val="008E7210"/>
    <w:rsid w:val="008E786B"/>
    <w:rsid w:val="008E78A7"/>
    <w:rsid w:val="008E78E8"/>
    <w:rsid w:val="008E7BF1"/>
    <w:rsid w:val="008E7C56"/>
    <w:rsid w:val="008E7E55"/>
    <w:rsid w:val="008E7FD9"/>
    <w:rsid w:val="008F0103"/>
    <w:rsid w:val="008F01C9"/>
    <w:rsid w:val="008F021C"/>
    <w:rsid w:val="008F0290"/>
    <w:rsid w:val="008F083D"/>
    <w:rsid w:val="008F0E34"/>
    <w:rsid w:val="008F0E55"/>
    <w:rsid w:val="008F0F60"/>
    <w:rsid w:val="008F1259"/>
    <w:rsid w:val="008F1326"/>
    <w:rsid w:val="008F1519"/>
    <w:rsid w:val="008F1632"/>
    <w:rsid w:val="008F16F8"/>
    <w:rsid w:val="008F1BC4"/>
    <w:rsid w:val="008F1CC6"/>
    <w:rsid w:val="008F1D7F"/>
    <w:rsid w:val="008F1E41"/>
    <w:rsid w:val="008F1EDE"/>
    <w:rsid w:val="008F2032"/>
    <w:rsid w:val="008F2346"/>
    <w:rsid w:val="008F262D"/>
    <w:rsid w:val="008F26BF"/>
    <w:rsid w:val="008F2864"/>
    <w:rsid w:val="008F28B8"/>
    <w:rsid w:val="008F28F5"/>
    <w:rsid w:val="008F2A0B"/>
    <w:rsid w:val="008F2BB2"/>
    <w:rsid w:val="008F2C2B"/>
    <w:rsid w:val="008F2D73"/>
    <w:rsid w:val="008F2F35"/>
    <w:rsid w:val="008F30FC"/>
    <w:rsid w:val="008F317E"/>
    <w:rsid w:val="008F31C0"/>
    <w:rsid w:val="008F341C"/>
    <w:rsid w:val="008F36BE"/>
    <w:rsid w:val="008F374A"/>
    <w:rsid w:val="008F3869"/>
    <w:rsid w:val="008F38A7"/>
    <w:rsid w:val="008F3D2F"/>
    <w:rsid w:val="008F3DAA"/>
    <w:rsid w:val="008F3E21"/>
    <w:rsid w:val="008F403D"/>
    <w:rsid w:val="008F4392"/>
    <w:rsid w:val="008F447E"/>
    <w:rsid w:val="008F4598"/>
    <w:rsid w:val="008F48DD"/>
    <w:rsid w:val="008F4B60"/>
    <w:rsid w:val="008F4BC9"/>
    <w:rsid w:val="008F4C41"/>
    <w:rsid w:val="008F4CBD"/>
    <w:rsid w:val="008F4D5E"/>
    <w:rsid w:val="008F4DDE"/>
    <w:rsid w:val="008F4E1F"/>
    <w:rsid w:val="008F4E29"/>
    <w:rsid w:val="008F4E46"/>
    <w:rsid w:val="008F4F02"/>
    <w:rsid w:val="008F535A"/>
    <w:rsid w:val="008F54FB"/>
    <w:rsid w:val="008F5536"/>
    <w:rsid w:val="008F5544"/>
    <w:rsid w:val="008F58AB"/>
    <w:rsid w:val="008F59BD"/>
    <w:rsid w:val="008F59FB"/>
    <w:rsid w:val="008F5ADC"/>
    <w:rsid w:val="008F5B68"/>
    <w:rsid w:val="008F5B9E"/>
    <w:rsid w:val="008F5C0A"/>
    <w:rsid w:val="008F61F3"/>
    <w:rsid w:val="008F62F3"/>
    <w:rsid w:val="008F632F"/>
    <w:rsid w:val="008F6400"/>
    <w:rsid w:val="008F646A"/>
    <w:rsid w:val="008F6540"/>
    <w:rsid w:val="008F7113"/>
    <w:rsid w:val="008F7409"/>
    <w:rsid w:val="008F740F"/>
    <w:rsid w:val="008F74DC"/>
    <w:rsid w:val="008F75B1"/>
    <w:rsid w:val="008F774F"/>
    <w:rsid w:val="008F7A8B"/>
    <w:rsid w:val="008F7F34"/>
    <w:rsid w:val="008F7FF0"/>
    <w:rsid w:val="0090005E"/>
    <w:rsid w:val="00900411"/>
    <w:rsid w:val="009004EF"/>
    <w:rsid w:val="00900581"/>
    <w:rsid w:val="009005B3"/>
    <w:rsid w:val="009005D4"/>
    <w:rsid w:val="00900639"/>
    <w:rsid w:val="009009F5"/>
    <w:rsid w:val="00900A73"/>
    <w:rsid w:val="00900B72"/>
    <w:rsid w:val="00900D04"/>
    <w:rsid w:val="00900D97"/>
    <w:rsid w:val="00900FBA"/>
    <w:rsid w:val="00901046"/>
    <w:rsid w:val="009010DD"/>
    <w:rsid w:val="0090137D"/>
    <w:rsid w:val="00901394"/>
    <w:rsid w:val="009015AD"/>
    <w:rsid w:val="00901733"/>
    <w:rsid w:val="0090187F"/>
    <w:rsid w:val="009018BC"/>
    <w:rsid w:val="009019C6"/>
    <w:rsid w:val="00901BEB"/>
    <w:rsid w:val="00901BF0"/>
    <w:rsid w:val="0090227C"/>
    <w:rsid w:val="009022A8"/>
    <w:rsid w:val="00902421"/>
    <w:rsid w:val="00902AFE"/>
    <w:rsid w:val="00902B2E"/>
    <w:rsid w:val="00902C2B"/>
    <w:rsid w:val="00902D40"/>
    <w:rsid w:val="00902E05"/>
    <w:rsid w:val="00902E0B"/>
    <w:rsid w:val="00902EA1"/>
    <w:rsid w:val="00902F3A"/>
    <w:rsid w:val="00903282"/>
    <w:rsid w:val="0090330E"/>
    <w:rsid w:val="00903502"/>
    <w:rsid w:val="00903626"/>
    <w:rsid w:val="00903770"/>
    <w:rsid w:val="0090386D"/>
    <w:rsid w:val="009038B5"/>
    <w:rsid w:val="00903D27"/>
    <w:rsid w:val="009043ED"/>
    <w:rsid w:val="00904650"/>
    <w:rsid w:val="00904662"/>
    <w:rsid w:val="009047FA"/>
    <w:rsid w:val="0090483E"/>
    <w:rsid w:val="00904ACC"/>
    <w:rsid w:val="00904D3F"/>
    <w:rsid w:val="00904F18"/>
    <w:rsid w:val="00904FCA"/>
    <w:rsid w:val="009055B8"/>
    <w:rsid w:val="009059FC"/>
    <w:rsid w:val="00905AC7"/>
    <w:rsid w:val="00905B8E"/>
    <w:rsid w:val="00905D5C"/>
    <w:rsid w:val="00905F11"/>
    <w:rsid w:val="00905F83"/>
    <w:rsid w:val="00906054"/>
    <w:rsid w:val="00906125"/>
    <w:rsid w:val="0090651C"/>
    <w:rsid w:val="00906599"/>
    <w:rsid w:val="009065E6"/>
    <w:rsid w:val="009065F3"/>
    <w:rsid w:val="0090689E"/>
    <w:rsid w:val="00906A31"/>
    <w:rsid w:val="00906B60"/>
    <w:rsid w:val="00906CA7"/>
    <w:rsid w:val="00906E31"/>
    <w:rsid w:val="00906F71"/>
    <w:rsid w:val="00906F76"/>
    <w:rsid w:val="0090746A"/>
    <w:rsid w:val="00907543"/>
    <w:rsid w:val="0090768D"/>
    <w:rsid w:val="0090781F"/>
    <w:rsid w:val="00907911"/>
    <w:rsid w:val="009079F8"/>
    <w:rsid w:val="00907DB5"/>
    <w:rsid w:val="00907F26"/>
    <w:rsid w:val="00907FD8"/>
    <w:rsid w:val="00907FDA"/>
    <w:rsid w:val="0091012D"/>
    <w:rsid w:val="00910538"/>
    <w:rsid w:val="009107DF"/>
    <w:rsid w:val="009108CA"/>
    <w:rsid w:val="009109C4"/>
    <w:rsid w:val="009109FA"/>
    <w:rsid w:val="00910A46"/>
    <w:rsid w:val="00910E08"/>
    <w:rsid w:val="00910F18"/>
    <w:rsid w:val="00911021"/>
    <w:rsid w:val="009112EA"/>
    <w:rsid w:val="00911428"/>
    <w:rsid w:val="00911586"/>
    <w:rsid w:val="009116C9"/>
    <w:rsid w:val="009118F8"/>
    <w:rsid w:val="00911B86"/>
    <w:rsid w:val="00911C5E"/>
    <w:rsid w:val="00911D07"/>
    <w:rsid w:val="00911D9D"/>
    <w:rsid w:val="00912001"/>
    <w:rsid w:val="009120A3"/>
    <w:rsid w:val="009122B2"/>
    <w:rsid w:val="00912477"/>
    <w:rsid w:val="009124B0"/>
    <w:rsid w:val="0091279B"/>
    <w:rsid w:val="009129D3"/>
    <w:rsid w:val="00912B0C"/>
    <w:rsid w:val="00912B4D"/>
    <w:rsid w:val="00912CB1"/>
    <w:rsid w:val="00912D27"/>
    <w:rsid w:val="0091321A"/>
    <w:rsid w:val="00913279"/>
    <w:rsid w:val="00913559"/>
    <w:rsid w:val="009136D4"/>
    <w:rsid w:val="009138B6"/>
    <w:rsid w:val="00913BDB"/>
    <w:rsid w:val="00913E24"/>
    <w:rsid w:val="00913E9C"/>
    <w:rsid w:val="00913F2F"/>
    <w:rsid w:val="009140EC"/>
    <w:rsid w:val="00914282"/>
    <w:rsid w:val="00914337"/>
    <w:rsid w:val="00914518"/>
    <w:rsid w:val="0091452A"/>
    <w:rsid w:val="0091467E"/>
    <w:rsid w:val="0091474C"/>
    <w:rsid w:val="00914868"/>
    <w:rsid w:val="00914A07"/>
    <w:rsid w:val="00914BA0"/>
    <w:rsid w:val="00914CC6"/>
    <w:rsid w:val="00914D77"/>
    <w:rsid w:val="00914D9D"/>
    <w:rsid w:val="00914DE7"/>
    <w:rsid w:val="00914F72"/>
    <w:rsid w:val="00915397"/>
    <w:rsid w:val="00915474"/>
    <w:rsid w:val="00915664"/>
    <w:rsid w:val="0091578F"/>
    <w:rsid w:val="00915881"/>
    <w:rsid w:val="00915ABF"/>
    <w:rsid w:val="00915B20"/>
    <w:rsid w:val="00915BAC"/>
    <w:rsid w:val="00915D56"/>
    <w:rsid w:val="00915D8A"/>
    <w:rsid w:val="00915D96"/>
    <w:rsid w:val="00915EF0"/>
    <w:rsid w:val="00915FF4"/>
    <w:rsid w:val="009161B2"/>
    <w:rsid w:val="0091649B"/>
    <w:rsid w:val="0091652D"/>
    <w:rsid w:val="0091664B"/>
    <w:rsid w:val="00916778"/>
    <w:rsid w:val="00916829"/>
    <w:rsid w:val="00916AB5"/>
    <w:rsid w:val="00916ADA"/>
    <w:rsid w:val="00916B94"/>
    <w:rsid w:val="00916D25"/>
    <w:rsid w:val="009172A7"/>
    <w:rsid w:val="00917343"/>
    <w:rsid w:val="00917380"/>
    <w:rsid w:val="009174F3"/>
    <w:rsid w:val="0091765F"/>
    <w:rsid w:val="0091777A"/>
    <w:rsid w:val="0091781C"/>
    <w:rsid w:val="00917A70"/>
    <w:rsid w:val="00917D44"/>
    <w:rsid w:val="00917EDD"/>
    <w:rsid w:val="00920037"/>
    <w:rsid w:val="009200F1"/>
    <w:rsid w:val="009200FD"/>
    <w:rsid w:val="009201FF"/>
    <w:rsid w:val="009202C1"/>
    <w:rsid w:val="0092038F"/>
    <w:rsid w:val="0092048F"/>
    <w:rsid w:val="0092054E"/>
    <w:rsid w:val="009206BB"/>
    <w:rsid w:val="00920707"/>
    <w:rsid w:val="00920949"/>
    <w:rsid w:val="0092098A"/>
    <w:rsid w:val="00920A98"/>
    <w:rsid w:val="00920ACE"/>
    <w:rsid w:val="00920C08"/>
    <w:rsid w:val="00920C15"/>
    <w:rsid w:val="00920EDA"/>
    <w:rsid w:val="00921124"/>
    <w:rsid w:val="0092122B"/>
    <w:rsid w:val="00921241"/>
    <w:rsid w:val="00921530"/>
    <w:rsid w:val="009215D2"/>
    <w:rsid w:val="009218D7"/>
    <w:rsid w:val="0092198A"/>
    <w:rsid w:val="009220E5"/>
    <w:rsid w:val="00922166"/>
    <w:rsid w:val="0092222F"/>
    <w:rsid w:val="0092248D"/>
    <w:rsid w:val="00922552"/>
    <w:rsid w:val="00922659"/>
    <w:rsid w:val="0092271C"/>
    <w:rsid w:val="009228C7"/>
    <w:rsid w:val="009229BE"/>
    <w:rsid w:val="00922C6F"/>
    <w:rsid w:val="00922D52"/>
    <w:rsid w:val="00922E4B"/>
    <w:rsid w:val="00922F4C"/>
    <w:rsid w:val="0092306A"/>
    <w:rsid w:val="00923373"/>
    <w:rsid w:val="009235EA"/>
    <w:rsid w:val="009238AD"/>
    <w:rsid w:val="009238C7"/>
    <w:rsid w:val="00923BC3"/>
    <w:rsid w:val="00923C6D"/>
    <w:rsid w:val="00923D4F"/>
    <w:rsid w:val="00923E8C"/>
    <w:rsid w:val="00924011"/>
    <w:rsid w:val="00924293"/>
    <w:rsid w:val="009243F6"/>
    <w:rsid w:val="0092446B"/>
    <w:rsid w:val="00924566"/>
    <w:rsid w:val="0092463B"/>
    <w:rsid w:val="00924689"/>
    <w:rsid w:val="009249CF"/>
    <w:rsid w:val="00924AB1"/>
    <w:rsid w:val="00924B1A"/>
    <w:rsid w:val="00924B25"/>
    <w:rsid w:val="00924C26"/>
    <w:rsid w:val="00924C8B"/>
    <w:rsid w:val="00924CE6"/>
    <w:rsid w:val="00924F93"/>
    <w:rsid w:val="00925257"/>
    <w:rsid w:val="0092547A"/>
    <w:rsid w:val="009254A8"/>
    <w:rsid w:val="0092556D"/>
    <w:rsid w:val="00925589"/>
    <w:rsid w:val="009255BA"/>
    <w:rsid w:val="00925747"/>
    <w:rsid w:val="0092584C"/>
    <w:rsid w:val="00925928"/>
    <w:rsid w:val="00925B06"/>
    <w:rsid w:val="00925B73"/>
    <w:rsid w:val="00925C09"/>
    <w:rsid w:val="00925F21"/>
    <w:rsid w:val="00925F5B"/>
    <w:rsid w:val="009260BB"/>
    <w:rsid w:val="009260C6"/>
    <w:rsid w:val="00926152"/>
    <w:rsid w:val="00926160"/>
    <w:rsid w:val="0092624E"/>
    <w:rsid w:val="009263CF"/>
    <w:rsid w:val="00926494"/>
    <w:rsid w:val="0092666C"/>
    <w:rsid w:val="009266F7"/>
    <w:rsid w:val="0092670B"/>
    <w:rsid w:val="0092670F"/>
    <w:rsid w:val="00926790"/>
    <w:rsid w:val="009267A0"/>
    <w:rsid w:val="009268AF"/>
    <w:rsid w:val="00926B13"/>
    <w:rsid w:val="00926B9E"/>
    <w:rsid w:val="00926FB0"/>
    <w:rsid w:val="009270D8"/>
    <w:rsid w:val="009272BF"/>
    <w:rsid w:val="009273A2"/>
    <w:rsid w:val="00927515"/>
    <w:rsid w:val="0092766C"/>
    <w:rsid w:val="009279BC"/>
    <w:rsid w:val="00927A2F"/>
    <w:rsid w:val="00927A54"/>
    <w:rsid w:val="00927B79"/>
    <w:rsid w:val="00927D56"/>
    <w:rsid w:val="00927EA4"/>
    <w:rsid w:val="0093025E"/>
    <w:rsid w:val="00930325"/>
    <w:rsid w:val="009303B8"/>
    <w:rsid w:val="0093042B"/>
    <w:rsid w:val="00930510"/>
    <w:rsid w:val="0093062E"/>
    <w:rsid w:val="00930632"/>
    <w:rsid w:val="00930635"/>
    <w:rsid w:val="0093076A"/>
    <w:rsid w:val="009308B9"/>
    <w:rsid w:val="009308C7"/>
    <w:rsid w:val="009308E0"/>
    <w:rsid w:val="009309E7"/>
    <w:rsid w:val="00930B43"/>
    <w:rsid w:val="00930B6C"/>
    <w:rsid w:val="00930CE9"/>
    <w:rsid w:val="00930DBB"/>
    <w:rsid w:val="00930ED5"/>
    <w:rsid w:val="00930F36"/>
    <w:rsid w:val="009310A0"/>
    <w:rsid w:val="009312ED"/>
    <w:rsid w:val="00931653"/>
    <w:rsid w:val="0093165A"/>
    <w:rsid w:val="00931820"/>
    <w:rsid w:val="00931900"/>
    <w:rsid w:val="009319CF"/>
    <w:rsid w:val="00931A8B"/>
    <w:rsid w:val="00931AE7"/>
    <w:rsid w:val="00931B22"/>
    <w:rsid w:val="00932157"/>
    <w:rsid w:val="009323F3"/>
    <w:rsid w:val="0093240E"/>
    <w:rsid w:val="00932531"/>
    <w:rsid w:val="0093258C"/>
    <w:rsid w:val="009329EB"/>
    <w:rsid w:val="009329FB"/>
    <w:rsid w:val="00932A5C"/>
    <w:rsid w:val="00932B44"/>
    <w:rsid w:val="00932DBF"/>
    <w:rsid w:val="00932E08"/>
    <w:rsid w:val="00932E4A"/>
    <w:rsid w:val="00932E5F"/>
    <w:rsid w:val="00932EF5"/>
    <w:rsid w:val="00933005"/>
    <w:rsid w:val="00933040"/>
    <w:rsid w:val="009332D5"/>
    <w:rsid w:val="009334C7"/>
    <w:rsid w:val="0093358B"/>
    <w:rsid w:val="009335B6"/>
    <w:rsid w:val="009335D8"/>
    <w:rsid w:val="00933945"/>
    <w:rsid w:val="009339CA"/>
    <w:rsid w:val="00933EBA"/>
    <w:rsid w:val="00933EC7"/>
    <w:rsid w:val="00933F96"/>
    <w:rsid w:val="00933FA0"/>
    <w:rsid w:val="00933FD8"/>
    <w:rsid w:val="00934041"/>
    <w:rsid w:val="0093405A"/>
    <w:rsid w:val="00934137"/>
    <w:rsid w:val="0093421D"/>
    <w:rsid w:val="0093440D"/>
    <w:rsid w:val="00934450"/>
    <w:rsid w:val="00934523"/>
    <w:rsid w:val="009345F7"/>
    <w:rsid w:val="009346A5"/>
    <w:rsid w:val="00934712"/>
    <w:rsid w:val="00934812"/>
    <w:rsid w:val="009348F6"/>
    <w:rsid w:val="00934A15"/>
    <w:rsid w:val="00934EA1"/>
    <w:rsid w:val="00934F4B"/>
    <w:rsid w:val="009351C8"/>
    <w:rsid w:val="0093524F"/>
    <w:rsid w:val="0093540F"/>
    <w:rsid w:val="00935646"/>
    <w:rsid w:val="0093590B"/>
    <w:rsid w:val="0093590D"/>
    <w:rsid w:val="00935A64"/>
    <w:rsid w:val="00935B7C"/>
    <w:rsid w:val="00935C68"/>
    <w:rsid w:val="00935CA8"/>
    <w:rsid w:val="00935D20"/>
    <w:rsid w:val="00935EFB"/>
    <w:rsid w:val="00936100"/>
    <w:rsid w:val="0093614E"/>
    <w:rsid w:val="0093618D"/>
    <w:rsid w:val="0093670A"/>
    <w:rsid w:val="00936A86"/>
    <w:rsid w:val="00936B37"/>
    <w:rsid w:val="00936B6C"/>
    <w:rsid w:val="00936F3E"/>
    <w:rsid w:val="00937084"/>
    <w:rsid w:val="0093725D"/>
    <w:rsid w:val="009373FA"/>
    <w:rsid w:val="0093740C"/>
    <w:rsid w:val="0093774D"/>
    <w:rsid w:val="00937925"/>
    <w:rsid w:val="00937A71"/>
    <w:rsid w:val="00937A86"/>
    <w:rsid w:val="00937B11"/>
    <w:rsid w:val="0093DD66"/>
    <w:rsid w:val="009400A0"/>
    <w:rsid w:val="00940169"/>
    <w:rsid w:val="009401DB"/>
    <w:rsid w:val="00940388"/>
    <w:rsid w:val="00940709"/>
    <w:rsid w:val="0094070F"/>
    <w:rsid w:val="0094080F"/>
    <w:rsid w:val="00940843"/>
    <w:rsid w:val="00940A54"/>
    <w:rsid w:val="00940C95"/>
    <w:rsid w:val="00940EC5"/>
    <w:rsid w:val="009412D8"/>
    <w:rsid w:val="009414D1"/>
    <w:rsid w:val="009416F2"/>
    <w:rsid w:val="00941729"/>
    <w:rsid w:val="0094172C"/>
    <w:rsid w:val="00941739"/>
    <w:rsid w:val="0094177D"/>
    <w:rsid w:val="00941CD4"/>
    <w:rsid w:val="00941D7C"/>
    <w:rsid w:val="00941D83"/>
    <w:rsid w:val="00941E53"/>
    <w:rsid w:val="00941E8C"/>
    <w:rsid w:val="00942107"/>
    <w:rsid w:val="00942676"/>
    <w:rsid w:val="009426DC"/>
    <w:rsid w:val="009427AB"/>
    <w:rsid w:val="009429E5"/>
    <w:rsid w:val="00942BB3"/>
    <w:rsid w:val="00943049"/>
    <w:rsid w:val="0094311F"/>
    <w:rsid w:val="00943169"/>
    <w:rsid w:val="009433FE"/>
    <w:rsid w:val="00943508"/>
    <w:rsid w:val="009438F6"/>
    <w:rsid w:val="009439E8"/>
    <w:rsid w:val="00943BE3"/>
    <w:rsid w:val="00943C5B"/>
    <w:rsid w:val="00943D5F"/>
    <w:rsid w:val="00943EF8"/>
    <w:rsid w:val="00943F63"/>
    <w:rsid w:val="009440FB"/>
    <w:rsid w:val="009443E4"/>
    <w:rsid w:val="0094458E"/>
    <w:rsid w:val="0094464B"/>
    <w:rsid w:val="009446FA"/>
    <w:rsid w:val="00944710"/>
    <w:rsid w:val="0094477A"/>
    <w:rsid w:val="009447A7"/>
    <w:rsid w:val="009447EF"/>
    <w:rsid w:val="00944853"/>
    <w:rsid w:val="00944862"/>
    <w:rsid w:val="009448BA"/>
    <w:rsid w:val="0094492A"/>
    <w:rsid w:val="00944A79"/>
    <w:rsid w:val="00944A82"/>
    <w:rsid w:val="009450B8"/>
    <w:rsid w:val="00945179"/>
    <w:rsid w:val="009451A4"/>
    <w:rsid w:val="009451DD"/>
    <w:rsid w:val="00945240"/>
    <w:rsid w:val="00945284"/>
    <w:rsid w:val="009453A3"/>
    <w:rsid w:val="00945615"/>
    <w:rsid w:val="009458CD"/>
    <w:rsid w:val="0094591D"/>
    <w:rsid w:val="00945FBD"/>
    <w:rsid w:val="009460F7"/>
    <w:rsid w:val="00946484"/>
    <w:rsid w:val="009465B6"/>
    <w:rsid w:val="009465F7"/>
    <w:rsid w:val="009467ED"/>
    <w:rsid w:val="00946801"/>
    <w:rsid w:val="0094681C"/>
    <w:rsid w:val="00946859"/>
    <w:rsid w:val="009468A3"/>
    <w:rsid w:val="00946976"/>
    <w:rsid w:val="00946B39"/>
    <w:rsid w:val="00946BFF"/>
    <w:rsid w:val="00946CDC"/>
    <w:rsid w:val="00946E80"/>
    <w:rsid w:val="00946F1E"/>
    <w:rsid w:val="00947548"/>
    <w:rsid w:val="00947CFF"/>
    <w:rsid w:val="00947F3B"/>
    <w:rsid w:val="00950179"/>
    <w:rsid w:val="00950187"/>
    <w:rsid w:val="00950349"/>
    <w:rsid w:val="00950457"/>
    <w:rsid w:val="009505F8"/>
    <w:rsid w:val="00950755"/>
    <w:rsid w:val="009507D0"/>
    <w:rsid w:val="009507FA"/>
    <w:rsid w:val="0095080F"/>
    <w:rsid w:val="009509E0"/>
    <w:rsid w:val="00950B99"/>
    <w:rsid w:val="0095129E"/>
    <w:rsid w:val="009513B1"/>
    <w:rsid w:val="0095147E"/>
    <w:rsid w:val="00951615"/>
    <w:rsid w:val="0095167F"/>
    <w:rsid w:val="009516A6"/>
    <w:rsid w:val="009516F6"/>
    <w:rsid w:val="009517E1"/>
    <w:rsid w:val="00951AA0"/>
    <w:rsid w:val="00951D49"/>
    <w:rsid w:val="00951E6F"/>
    <w:rsid w:val="00951F17"/>
    <w:rsid w:val="00951F5C"/>
    <w:rsid w:val="009521CB"/>
    <w:rsid w:val="00952306"/>
    <w:rsid w:val="0095252A"/>
    <w:rsid w:val="0095296E"/>
    <w:rsid w:val="00952BE0"/>
    <w:rsid w:val="00952EA1"/>
    <w:rsid w:val="00952EC5"/>
    <w:rsid w:val="009535C5"/>
    <w:rsid w:val="009535CA"/>
    <w:rsid w:val="009536E8"/>
    <w:rsid w:val="00953716"/>
    <w:rsid w:val="009538EF"/>
    <w:rsid w:val="00953ACC"/>
    <w:rsid w:val="00954072"/>
    <w:rsid w:val="00954094"/>
    <w:rsid w:val="009540D9"/>
    <w:rsid w:val="0095423B"/>
    <w:rsid w:val="009543EB"/>
    <w:rsid w:val="00954574"/>
    <w:rsid w:val="0095458D"/>
    <w:rsid w:val="00954AE9"/>
    <w:rsid w:val="00954D3B"/>
    <w:rsid w:val="00954FAC"/>
    <w:rsid w:val="00954FBD"/>
    <w:rsid w:val="00955009"/>
    <w:rsid w:val="009554EA"/>
    <w:rsid w:val="00955714"/>
    <w:rsid w:val="009559A4"/>
    <w:rsid w:val="009559AC"/>
    <w:rsid w:val="009559F0"/>
    <w:rsid w:val="00955AC6"/>
    <w:rsid w:val="00955AD4"/>
    <w:rsid w:val="00955D46"/>
    <w:rsid w:val="00955E87"/>
    <w:rsid w:val="00955F18"/>
    <w:rsid w:val="00955FC9"/>
    <w:rsid w:val="0095600A"/>
    <w:rsid w:val="00956214"/>
    <w:rsid w:val="0095649C"/>
    <w:rsid w:val="00956888"/>
    <w:rsid w:val="009569FF"/>
    <w:rsid w:val="00956D52"/>
    <w:rsid w:val="0095750F"/>
    <w:rsid w:val="00957938"/>
    <w:rsid w:val="00957C3F"/>
    <w:rsid w:val="00957CC2"/>
    <w:rsid w:val="0096054D"/>
    <w:rsid w:val="0096063B"/>
    <w:rsid w:val="00960714"/>
    <w:rsid w:val="00960872"/>
    <w:rsid w:val="009608EF"/>
    <w:rsid w:val="0096098A"/>
    <w:rsid w:val="00960E23"/>
    <w:rsid w:val="00960EBA"/>
    <w:rsid w:val="00960EEB"/>
    <w:rsid w:val="00960FBC"/>
    <w:rsid w:val="00961280"/>
    <w:rsid w:val="0096152C"/>
    <w:rsid w:val="0096155A"/>
    <w:rsid w:val="00961758"/>
    <w:rsid w:val="009618E5"/>
    <w:rsid w:val="00961A2D"/>
    <w:rsid w:val="00961A35"/>
    <w:rsid w:val="00961A7B"/>
    <w:rsid w:val="00961B66"/>
    <w:rsid w:val="00961B8E"/>
    <w:rsid w:val="00961E6B"/>
    <w:rsid w:val="00961F5A"/>
    <w:rsid w:val="00961F5D"/>
    <w:rsid w:val="009620EA"/>
    <w:rsid w:val="009627FD"/>
    <w:rsid w:val="00962814"/>
    <w:rsid w:val="00962852"/>
    <w:rsid w:val="009628B0"/>
    <w:rsid w:val="00962956"/>
    <w:rsid w:val="009629A8"/>
    <w:rsid w:val="009629F6"/>
    <w:rsid w:val="00962A34"/>
    <w:rsid w:val="00962A3C"/>
    <w:rsid w:val="00962A42"/>
    <w:rsid w:val="00962AA5"/>
    <w:rsid w:val="00962AAB"/>
    <w:rsid w:val="00962DC0"/>
    <w:rsid w:val="00962F1E"/>
    <w:rsid w:val="00963015"/>
    <w:rsid w:val="009630E9"/>
    <w:rsid w:val="0096312D"/>
    <w:rsid w:val="00963195"/>
    <w:rsid w:val="009633C7"/>
    <w:rsid w:val="009634DA"/>
    <w:rsid w:val="009635D5"/>
    <w:rsid w:val="009637DD"/>
    <w:rsid w:val="0096380E"/>
    <w:rsid w:val="0096387A"/>
    <w:rsid w:val="00963A1E"/>
    <w:rsid w:val="00963ABE"/>
    <w:rsid w:val="00963EF5"/>
    <w:rsid w:val="00963F61"/>
    <w:rsid w:val="0096403B"/>
    <w:rsid w:val="0096409A"/>
    <w:rsid w:val="00964359"/>
    <w:rsid w:val="009645BA"/>
    <w:rsid w:val="00964D65"/>
    <w:rsid w:val="00965235"/>
    <w:rsid w:val="009655E2"/>
    <w:rsid w:val="009655E4"/>
    <w:rsid w:val="009655FE"/>
    <w:rsid w:val="00965689"/>
    <w:rsid w:val="0096573D"/>
    <w:rsid w:val="00965799"/>
    <w:rsid w:val="009657FD"/>
    <w:rsid w:val="00965FAD"/>
    <w:rsid w:val="009661CC"/>
    <w:rsid w:val="0096627C"/>
    <w:rsid w:val="00966396"/>
    <w:rsid w:val="00966638"/>
    <w:rsid w:val="0096675F"/>
    <w:rsid w:val="00966973"/>
    <w:rsid w:val="00966B3D"/>
    <w:rsid w:val="00966BB3"/>
    <w:rsid w:val="00966C02"/>
    <w:rsid w:val="00966F1B"/>
    <w:rsid w:val="009671AF"/>
    <w:rsid w:val="009671F1"/>
    <w:rsid w:val="0096725F"/>
    <w:rsid w:val="00967410"/>
    <w:rsid w:val="009676AA"/>
    <w:rsid w:val="00967A35"/>
    <w:rsid w:val="00967C3B"/>
    <w:rsid w:val="00967C47"/>
    <w:rsid w:val="00967F07"/>
    <w:rsid w:val="00970207"/>
    <w:rsid w:val="0097042F"/>
    <w:rsid w:val="0097043E"/>
    <w:rsid w:val="009704DA"/>
    <w:rsid w:val="00970712"/>
    <w:rsid w:val="00970940"/>
    <w:rsid w:val="00970975"/>
    <w:rsid w:val="009709E9"/>
    <w:rsid w:val="009709EB"/>
    <w:rsid w:val="009709F9"/>
    <w:rsid w:val="00970A53"/>
    <w:rsid w:val="00970A71"/>
    <w:rsid w:val="00970B5E"/>
    <w:rsid w:val="00970D66"/>
    <w:rsid w:val="00970D72"/>
    <w:rsid w:val="00970E82"/>
    <w:rsid w:val="00970EDA"/>
    <w:rsid w:val="00970F04"/>
    <w:rsid w:val="0097101E"/>
    <w:rsid w:val="00971020"/>
    <w:rsid w:val="0097106A"/>
    <w:rsid w:val="009711C8"/>
    <w:rsid w:val="00971250"/>
    <w:rsid w:val="00971449"/>
    <w:rsid w:val="009715DB"/>
    <w:rsid w:val="0097179D"/>
    <w:rsid w:val="009718C5"/>
    <w:rsid w:val="00971972"/>
    <w:rsid w:val="009719FD"/>
    <w:rsid w:val="00971C8F"/>
    <w:rsid w:val="00971DFC"/>
    <w:rsid w:val="00971F6D"/>
    <w:rsid w:val="00972012"/>
    <w:rsid w:val="0097213C"/>
    <w:rsid w:val="0097219B"/>
    <w:rsid w:val="00972437"/>
    <w:rsid w:val="00972480"/>
    <w:rsid w:val="00972552"/>
    <w:rsid w:val="009727A9"/>
    <w:rsid w:val="009728E3"/>
    <w:rsid w:val="00972AEF"/>
    <w:rsid w:val="00972BFD"/>
    <w:rsid w:val="00972DBC"/>
    <w:rsid w:val="00973004"/>
    <w:rsid w:val="00973365"/>
    <w:rsid w:val="009734D0"/>
    <w:rsid w:val="009734FF"/>
    <w:rsid w:val="009735E3"/>
    <w:rsid w:val="0097360B"/>
    <w:rsid w:val="00973909"/>
    <w:rsid w:val="00973921"/>
    <w:rsid w:val="00973A25"/>
    <w:rsid w:val="00973BD2"/>
    <w:rsid w:val="00973DC6"/>
    <w:rsid w:val="00973DDA"/>
    <w:rsid w:val="0097413D"/>
    <w:rsid w:val="00974149"/>
    <w:rsid w:val="0097415D"/>
    <w:rsid w:val="00974181"/>
    <w:rsid w:val="0097429F"/>
    <w:rsid w:val="009743B6"/>
    <w:rsid w:val="009743F3"/>
    <w:rsid w:val="009745D1"/>
    <w:rsid w:val="00974718"/>
    <w:rsid w:val="00974869"/>
    <w:rsid w:val="009748AB"/>
    <w:rsid w:val="00974AFB"/>
    <w:rsid w:val="00974CA1"/>
    <w:rsid w:val="00975120"/>
    <w:rsid w:val="0097516A"/>
    <w:rsid w:val="009753A9"/>
    <w:rsid w:val="009754BB"/>
    <w:rsid w:val="009754D9"/>
    <w:rsid w:val="009756D1"/>
    <w:rsid w:val="009756D3"/>
    <w:rsid w:val="009757B1"/>
    <w:rsid w:val="00975B74"/>
    <w:rsid w:val="00975BBF"/>
    <w:rsid w:val="00975E36"/>
    <w:rsid w:val="00975F2F"/>
    <w:rsid w:val="00975F30"/>
    <w:rsid w:val="00975FE6"/>
    <w:rsid w:val="0097634F"/>
    <w:rsid w:val="009763DB"/>
    <w:rsid w:val="009763DE"/>
    <w:rsid w:val="009764B2"/>
    <w:rsid w:val="00976617"/>
    <w:rsid w:val="0097664B"/>
    <w:rsid w:val="00976706"/>
    <w:rsid w:val="0097680F"/>
    <w:rsid w:val="00976A33"/>
    <w:rsid w:val="00976B36"/>
    <w:rsid w:val="00976BE7"/>
    <w:rsid w:val="00976EDF"/>
    <w:rsid w:val="00976F42"/>
    <w:rsid w:val="00976F92"/>
    <w:rsid w:val="009771B8"/>
    <w:rsid w:val="00977910"/>
    <w:rsid w:val="00977923"/>
    <w:rsid w:val="00977A21"/>
    <w:rsid w:val="00977BF0"/>
    <w:rsid w:val="00977CC0"/>
    <w:rsid w:val="00977CE1"/>
    <w:rsid w:val="00977D0D"/>
    <w:rsid w:val="00980113"/>
    <w:rsid w:val="0098041A"/>
    <w:rsid w:val="00980424"/>
    <w:rsid w:val="0098047F"/>
    <w:rsid w:val="0098049E"/>
    <w:rsid w:val="00980521"/>
    <w:rsid w:val="00980602"/>
    <w:rsid w:val="009808DA"/>
    <w:rsid w:val="00980A6A"/>
    <w:rsid w:val="00980ADB"/>
    <w:rsid w:val="00980C06"/>
    <w:rsid w:val="00980E6B"/>
    <w:rsid w:val="0098136C"/>
    <w:rsid w:val="0098144D"/>
    <w:rsid w:val="00981573"/>
    <w:rsid w:val="00981750"/>
    <w:rsid w:val="0098180E"/>
    <w:rsid w:val="00981B39"/>
    <w:rsid w:val="00981CAF"/>
    <w:rsid w:val="00981EF5"/>
    <w:rsid w:val="00982121"/>
    <w:rsid w:val="00982936"/>
    <w:rsid w:val="00982938"/>
    <w:rsid w:val="0098296A"/>
    <w:rsid w:val="00982B4C"/>
    <w:rsid w:val="00982BAA"/>
    <w:rsid w:val="00982C49"/>
    <w:rsid w:val="00982D43"/>
    <w:rsid w:val="00982D7E"/>
    <w:rsid w:val="00982D93"/>
    <w:rsid w:val="00982DF5"/>
    <w:rsid w:val="00983502"/>
    <w:rsid w:val="00983508"/>
    <w:rsid w:val="00983522"/>
    <w:rsid w:val="00983571"/>
    <w:rsid w:val="009835A2"/>
    <w:rsid w:val="0098370A"/>
    <w:rsid w:val="0098377C"/>
    <w:rsid w:val="00983926"/>
    <w:rsid w:val="00983A91"/>
    <w:rsid w:val="00983AAF"/>
    <w:rsid w:val="00983AE9"/>
    <w:rsid w:val="00983B9A"/>
    <w:rsid w:val="00983EB7"/>
    <w:rsid w:val="00983F0E"/>
    <w:rsid w:val="0098416B"/>
    <w:rsid w:val="0098426A"/>
    <w:rsid w:val="00984299"/>
    <w:rsid w:val="009843AA"/>
    <w:rsid w:val="00984478"/>
    <w:rsid w:val="0098457A"/>
    <w:rsid w:val="009847F8"/>
    <w:rsid w:val="00984909"/>
    <w:rsid w:val="0098497E"/>
    <w:rsid w:val="00984A81"/>
    <w:rsid w:val="00984A93"/>
    <w:rsid w:val="00984B41"/>
    <w:rsid w:val="00984C93"/>
    <w:rsid w:val="00984CD7"/>
    <w:rsid w:val="00984DF4"/>
    <w:rsid w:val="00984E0B"/>
    <w:rsid w:val="00984FBB"/>
    <w:rsid w:val="00985194"/>
    <w:rsid w:val="009851AC"/>
    <w:rsid w:val="009853DF"/>
    <w:rsid w:val="00985504"/>
    <w:rsid w:val="009858AA"/>
    <w:rsid w:val="00985A16"/>
    <w:rsid w:val="00985AC4"/>
    <w:rsid w:val="00985AFC"/>
    <w:rsid w:val="00985BBE"/>
    <w:rsid w:val="00985C8B"/>
    <w:rsid w:val="00985CA6"/>
    <w:rsid w:val="00985EB2"/>
    <w:rsid w:val="0098600D"/>
    <w:rsid w:val="00986059"/>
    <w:rsid w:val="0098611C"/>
    <w:rsid w:val="00986123"/>
    <w:rsid w:val="009863B9"/>
    <w:rsid w:val="0098640F"/>
    <w:rsid w:val="00986543"/>
    <w:rsid w:val="00986599"/>
    <w:rsid w:val="00986873"/>
    <w:rsid w:val="00986A70"/>
    <w:rsid w:val="00986D2A"/>
    <w:rsid w:val="00986E50"/>
    <w:rsid w:val="00986E5A"/>
    <w:rsid w:val="00986FC9"/>
    <w:rsid w:val="0098704D"/>
    <w:rsid w:val="00987515"/>
    <w:rsid w:val="00987523"/>
    <w:rsid w:val="009875A4"/>
    <w:rsid w:val="009876EB"/>
    <w:rsid w:val="00987836"/>
    <w:rsid w:val="00987982"/>
    <w:rsid w:val="00987AF6"/>
    <w:rsid w:val="00987BC9"/>
    <w:rsid w:val="00987D2E"/>
    <w:rsid w:val="00987DAF"/>
    <w:rsid w:val="00987DEB"/>
    <w:rsid w:val="00987E6A"/>
    <w:rsid w:val="00987F57"/>
    <w:rsid w:val="00987FF0"/>
    <w:rsid w:val="0099001B"/>
    <w:rsid w:val="0099002C"/>
    <w:rsid w:val="0099007C"/>
    <w:rsid w:val="009900EB"/>
    <w:rsid w:val="00990631"/>
    <w:rsid w:val="00990765"/>
    <w:rsid w:val="00990795"/>
    <w:rsid w:val="00990A6D"/>
    <w:rsid w:val="00990BEB"/>
    <w:rsid w:val="00990C8E"/>
    <w:rsid w:val="00990CCA"/>
    <w:rsid w:val="00990E43"/>
    <w:rsid w:val="00990E9A"/>
    <w:rsid w:val="00990FE3"/>
    <w:rsid w:val="0099118E"/>
    <w:rsid w:val="00991287"/>
    <w:rsid w:val="00991470"/>
    <w:rsid w:val="00991520"/>
    <w:rsid w:val="0099177A"/>
    <w:rsid w:val="009919A9"/>
    <w:rsid w:val="009919CF"/>
    <w:rsid w:val="00991A69"/>
    <w:rsid w:val="00991BED"/>
    <w:rsid w:val="00991D63"/>
    <w:rsid w:val="00991F43"/>
    <w:rsid w:val="00992244"/>
    <w:rsid w:val="0099235F"/>
    <w:rsid w:val="009923C9"/>
    <w:rsid w:val="009926EA"/>
    <w:rsid w:val="009927C5"/>
    <w:rsid w:val="00992B55"/>
    <w:rsid w:val="00992C3A"/>
    <w:rsid w:val="00992CFD"/>
    <w:rsid w:val="00992EB0"/>
    <w:rsid w:val="00993065"/>
    <w:rsid w:val="00993097"/>
    <w:rsid w:val="00993355"/>
    <w:rsid w:val="00993532"/>
    <w:rsid w:val="00993659"/>
    <w:rsid w:val="0099371A"/>
    <w:rsid w:val="009938E1"/>
    <w:rsid w:val="00993A33"/>
    <w:rsid w:val="00994011"/>
    <w:rsid w:val="00994013"/>
    <w:rsid w:val="009940EF"/>
    <w:rsid w:val="00994129"/>
    <w:rsid w:val="00994215"/>
    <w:rsid w:val="00994265"/>
    <w:rsid w:val="0099429F"/>
    <w:rsid w:val="0099443E"/>
    <w:rsid w:val="009944E3"/>
    <w:rsid w:val="0099497E"/>
    <w:rsid w:val="00994B4E"/>
    <w:rsid w:val="00994D33"/>
    <w:rsid w:val="00994D79"/>
    <w:rsid w:val="00994E01"/>
    <w:rsid w:val="009959E4"/>
    <w:rsid w:val="00995A5B"/>
    <w:rsid w:val="00995C6F"/>
    <w:rsid w:val="00995D85"/>
    <w:rsid w:val="00995E1E"/>
    <w:rsid w:val="00995E7D"/>
    <w:rsid w:val="00996001"/>
    <w:rsid w:val="0099618A"/>
    <w:rsid w:val="00996206"/>
    <w:rsid w:val="009965F7"/>
    <w:rsid w:val="009966D2"/>
    <w:rsid w:val="00996831"/>
    <w:rsid w:val="009968F4"/>
    <w:rsid w:val="00996B41"/>
    <w:rsid w:val="00996CA4"/>
    <w:rsid w:val="00997033"/>
    <w:rsid w:val="00997177"/>
    <w:rsid w:val="009971B1"/>
    <w:rsid w:val="00997219"/>
    <w:rsid w:val="0099730B"/>
    <w:rsid w:val="009973AE"/>
    <w:rsid w:val="009975B2"/>
    <w:rsid w:val="0099767E"/>
    <w:rsid w:val="0099783E"/>
    <w:rsid w:val="00997925"/>
    <w:rsid w:val="009979EA"/>
    <w:rsid w:val="00997B73"/>
    <w:rsid w:val="00997BBC"/>
    <w:rsid w:val="00997BC8"/>
    <w:rsid w:val="00997D08"/>
    <w:rsid w:val="00997EF5"/>
    <w:rsid w:val="009A02D5"/>
    <w:rsid w:val="009A03E9"/>
    <w:rsid w:val="009A04A1"/>
    <w:rsid w:val="009A06E7"/>
    <w:rsid w:val="009A0736"/>
    <w:rsid w:val="009A0794"/>
    <w:rsid w:val="009A087B"/>
    <w:rsid w:val="009A08DD"/>
    <w:rsid w:val="009A0C5D"/>
    <w:rsid w:val="009A0D44"/>
    <w:rsid w:val="009A1215"/>
    <w:rsid w:val="009A1343"/>
    <w:rsid w:val="009A14A7"/>
    <w:rsid w:val="009A14DB"/>
    <w:rsid w:val="009A1543"/>
    <w:rsid w:val="009A172F"/>
    <w:rsid w:val="009A1788"/>
    <w:rsid w:val="009A187C"/>
    <w:rsid w:val="009A18B7"/>
    <w:rsid w:val="009A1AE0"/>
    <w:rsid w:val="009A1B86"/>
    <w:rsid w:val="009A1C0F"/>
    <w:rsid w:val="009A1F19"/>
    <w:rsid w:val="009A2174"/>
    <w:rsid w:val="009A218D"/>
    <w:rsid w:val="009A22A4"/>
    <w:rsid w:val="009A23D7"/>
    <w:rsid w:val="009A23D9"/>
    <w:rsid w:val="009A23EC"/>
    <w:rsid w:val="009A24E9"/>
    <w:rsid w:val="009A2684"/>
    <w:rsid w:val="009A2692"/>
    <w:rsid w:val="009A26C1"/>
    <w:rsid w:val="009A2A04"/>
    <w:rsid w:val="009A2BCC"/>
    <w:rsid w:val="009A2C6A"/>
    <w:rsid w:val="009A2CFE"/>
    <w:rsid w:val="009A2F33"/>
    <w:rsid w:val="009A30FD"/>
    <w:rsid w:val="009A321E"/>
    <w:rsid w:val="009A334E"/>
    <w:rsid w:val="009A339E"/>
    <w:rsid w:val="009A38DF"/>
    <w:rsid w:val="009A39A7"/>
    <w:rsid w:val="009A39EF"/>
    <w:rsid w:val="009A3A4E"/>
    <w:rsid w:val="009A3B08"/>
    <w:rsid w:val="009A3C34"/>
    <w:rsid w:val="009A3C9B"/>
    <w:rsid w:val="009A3E89"/>
    <w:rsid w:val="009A41AF"/>
    <w:rsid w:val="009A4204"/>
    <w:rsid w:val="009A4254"/>
    <w:rsid w:val="009A43A3"/>
    <w:rsid w:val="009A449A"/>
    <w:rsid w:val="009A457A"/>
    <w:rsid w:val="009A4902"/>
    <w:rsid w:val="009A4939"/>
    <w:rsid w:val="009A49B6"/>
    <w:rsid w:val="009A4BBB"/>
    <w:rsid w:val="009A4DE5"/>
    <w:rsid w:val="009A4F87"/>
    <w:rsid w:val="009A5103"/>
    <w:rsid w:val="009A5145"/>
    <w:rsid w:val="009A527E"/>
    <w:rsid w:val="009A54D6"/>
    <w:rsid w:val="009A551E"/>
    <w:rsid w:val="009A5BCB"/>
    <w:rsid w:val="009A5CF5"/>
    <w:rsid w:val="009A5EC2"/>
    <w:rsid w:val="009A5F32"/>
    <w:rsid w:val="009A6148"/>
    <w:rsid w:val="009A61DC"/>
    <w:rsid w:val="009A61FA"/>
    <w:rsid w:val="009A62C8"/>
    <w:rsid w:val="009A640D"/>
    <w:rsid w:val="009A662F"/>
    <w:rsid w:val="009A6737"/>
    <w:rsid w:val="009A67B3"/>
    <w:rsid w:val="009A6842"/>
    <w:rsid w:val="009A6848"/>
    <w:rsid w:val="009A68F5"/>
    <w:rsid w:val="009A6BDF"/>
    <w:rsid w:val="009A708B"/>
    <w:rsid w:val="009A71B7"/>
    <w:rsid w:val="009A71FA"/>
    <w:rsid w:val="009A7213"/>
    <w:rsid w:val="009A72B8"/>
    <w:rsid w:val="009A74A7"/>
    <w:rsid w:val="009A7A3C"/>
    <w:rsid w:val="009A7EA7"/>
    <w:rsid w:val="009A7F22"/>
    <w:rsid w:val="009B0008"/>
    <w:rsid w:val="009B03D0"/>
    <w:rsid w:val="009B03EF"/>
    <w:rsid w:val="009B059C"/>
    <w:rsid w:val="009B0636"/>
    <w:rsid w:val="009B0962"/>
    <w:rsid w:val="009B0BDC"/>
    <w:rsid w:val="009B0F49"/>
    <w:rsid w:val="009B0F87"/>
    <w:rsid w:val="009B1285"/>
    <w:rsid w:val="009B12A4"/>
    <w:rsid w:val="009B1548"/>
    <w:rsid w:val="009B1635"/>
    <w:rsid w:val="009B1638"/>
    <w:rsid w:val="009B16E9"/>
    <w:rsid w:val="009B1BA7"/>
    <w:rsid w:val="009B1BCB"/>
    <w:rsid w:val="009B1BE4"/>
    <w:rsid w:val="009B1FD3"/>
    <w:rsid w:val="009B2214"/>
    <w:rsid w:val="009B2220"/>
    <w:rsid w:val="009B223C"/>
    <w:rsid w:val="009B22D0"/>
    <w:rsid w:val="009B243B"/>
    <w:rsid w:val="009B24BD"/>
    <w:rsid w:val="009B2736"/>
    <w:rsid w:val="009B2BEC"/>
    <w:rsid w:val="009B2C97"/>
    <w:rsid w:val="009B2E0C"/>
    <w:rsid w:val="009B2E27"/>
    <w:rsid w:val="009B2F7D"/>
    <w:rsid w:val="009B3080"/>
    <w:rsid w:val="009B311B"/>
    <w:rsid w:val="009B3457"/>
    <w:rsid w:val="009B34D5"/>
    <w:rsid w:val="009B35C1"/>
    <w:rsid w:val="009B3681"/>
    <w:rsid w:val="009B396A"/>
    <w:rsid w:val="009B3C23"/>
    <w:rsid w:val="009B3CD4"/>
    <w:rsid w:val="009B3F5D"/>
    <w:rsid w:val="009B4021"/>
    <w:rsid w:val="009B4374"/>
    <w:rsid w:val="009B4428"/>
    <w:rsid w:val="009B4506"/>
    <w:rsid w:val="009B4790"/>
    <w:rsid w:val="009B4941"/>
    <w:rsid w:val="009B4E47"/>
    <w:rsid w:val="009B4EED"/>
    <w:rsid w:val="009B51CD"/>
    <w:rsid w:val="009B51DB"/>
    <w:rsid w:val="009B51F2"/>
    <w:rsid w:val="009B538D"/>
    <w:rsid w:val="009B53D5"/>
    <w:rsid w:val="009B5833"/>
    <w:rsid w:val="009B5A31"/>
    <w:rsid w:val="009B5AAF"/>
    <w:rsid w:val="009B5C6B"/>
    <w:rsid w:val="009B61A9"/>
    <w:rsid w:val="009B6543"/>
    <w:rsid w:val="009B6585"/>
    <w:rsid w:val="009B66EA"/>
    <w:rsid w:val="009B6A19"/>
    <w:rsid w:val="009B6D39"/>
    <w:rsid w:val="009B6D57"/>
    <w:rsid w:val="009B6D5D"/>
    <w:rsid w:val="009B6D71"/>
    <w:rsid w:val="009B6E34"/>
    <w:rsid w:val="009B728E"/>
    <w:rsid w:val="009B72AF"/>
    <w:rsid w:val="009B72D3"/>
    <w:rsid w:val="009B76DD"/>
    <w:rsid w:val="009B7837"/>
    <w:rsid w:val="009B7B10"/>
    <w:rsid w:val="009B7C3B"/>
    <w:rsid w:val="009B7CB9"/>
    <w:rsid w:val="009B7CDB"/>
    <w:rsid w:val="009B7D12"/>
    <w:rsid w:val="009B7D74"/>
    <w:rsid w:val="009B7DCE"/>
    <w:rsid w:val="009B7E54"/>
    <w:rsid w:val="009C005F"/>
    <w:rsid w:val="009C00D7"/>
    <w:rsid w:val="009C0108"/>
    <w:rsid w:val="009C0263"/>
    <w:rsid w:val="009C036E"/>
    <w:rsid w:val="009C03DF"/>
    <w:rsid w:val="009C040F"/>
    <w:rsid w:val="009C0693"/>
    <w:rsid w:val="009C07E5"/>
    <w:rsid w:val="009C0C43"/>
    <w:rsid w:val="009C0C5B"/>
    <w:rsid w:val="009C0CFB"/>
    <w:rsid w:val="009C0DBA"/>
    <w:rsid w:val="009C0F9F"/>
    <w:rsid w:val="009C10C3"/>
    <w:rsid w:val="009C10C9"/>
    <w:rsid w:val="009C122A"/>
    <w:rsid w:val="009C1404"/>
    <w:rsid w:val="009C188C"/>
    <w:rsid w:val="009C1927"/>
    <w:rsid w:val="009C1981"/>
    <w:rsid w:val="009C1D49"/>
    <w:rsid w:val="009C1D8F"/>
    <w:rsid w:val="009C1E74"/>
    <w:rsid w:val="009C1EF7"/>
    <w:rsid w:val="009C1F7D"/>
    <w:rsid w:val="009C2151"/>
    <w:rsid w:val="009C246E"/>
    <w:rsid w:val="009C2493"/>
    <w:rsid w:val="009C24A7"/>
    <w:rsid w:val="009C2659"/>
    <w:rsid w:val="009C27EA"/>
    <w:rsid w:val="009C280A"/>
    <w:rsid w:val="009C2836"/>
    <w:rsid w:val="009C2B4D"/>
    <w:rsid w:val="009C2F0D"/>
    <w:rsid w:val="009C31AB"/>
    <w:rsid w:val="009C3455"/>
    <w:rsid w:val="009C3668"/>
    <w:rsid w:val="009C396E"/>
    <w:rsid w:val="009C3A92"/>
    <w:rsid w:val="009C3BF4"/>
    <w:rsid w:val="009C3D64"/>
    <w:rsid w:val="009C3E7B"/>
    <w:rsid w:val="009C3EF2"/>
    <w:rsid w:val="009C3FFA"/>
    <w:rsid w:val="009C40A6"/>
    <w:rsid w:val="009C4316"/>
    <w:rsid w:val="009C4341"/>
    <w:rsid w:val="009C43DE"/>
    <w:rsid w:val="009C445C"/>
    <w:rsid w:val="009C499D"/>
    <w:rsid w:val="009C4A13"/>
    <w:rsid w:val="009C4AFB"/>
    <w:rsid w:val="009C4C6B"/>
    <w:rsid w:val="009C4F47"/>
    <w:rsid w:val="009C513D"/>
    <w:rsid w:val="009C52B0"/>
    <w:rsid w:val="009C532A"/>
    <w:rsid w:val="009C5630"/>
    <w:rsid w:val="009C568F"/>
    <w:rsid w:val="009C5A6B"/>
    <w:rsid w:val="009C5AC1"/>
    <w:rsid w:val="009C5B45"/>
    <w:rsid w:val="009C5C6A"/>
    <w:rsid w:val="009C5DA5"/>
    <w:rsid w:val="009C5DBB"/>
    <w:rsid w:val="009C5F87"/>
    <w:rsid w:val="009C6106"/>
    <w:rsid w:val="009C6124"/>
    <w:rsid w:val="009C6258"/>
    <w:rsid w:val="009C6391"/>
    <w:rsid w:val="009C649E"/>
    <w:rsid w:val="009C64FB"/>
    <w:rsid w:val="009C656C"/>
    <w:rsid w:val="009C6576"/>
    <w:rsid w:val="009C6653"/>
    <w:rsid w:val="009C67BD"/>
    <w:rsid w:val="009C68E7"/>
    <w:rsid w:val="009C6B2C"/>
    <w:rsid w:val="009C6BC9"/>
    <w:rsid w:val="009C6BD2"/>
    <w:rsid w:val="009C6BF9"/>
    <w:rsid w:val="009C6C01"/>
    <w:rsid w:val="009C6C45"/>
    <w:rsid w:val="009C6F95"/>
    <w:rsid w:val="009C7176"/>
    <w:rsid w:val="009C7262"/>
    <w:rsid w:val="009C766F"/>
    <w:rsid w:val="009C767C"/>
    <w:rsid w:val="009C7994"/>
    <w:rsid w:val="009C7E61"/>
    <w:rsid w:val="009C7E8D"/>
    <w:rsid w:val="009D0007"/>
    <w:rsid w:val="009D01B3"/>
    <w:rsid w:val="009D03F4"/>
    <w:rsid w:val="009D0476"/>
    <w:rsid w:val="009D054F"/>
    <w:rsid w:val="009D0735"/>
    <w:rsid w:val="009D08A6"/>
    <w:rsid w:val="009D09BC"/>
    <w:rsid w:val="009D0B5D"/>
    <w:rsid w:val="009D0C53"/>
    <w:rsid w:val="009D0E9F"/>
    <w:rsid w:val="009D0F76"/>
    <w:rsid w:val="009D1175"/>
    <w:rsid w:val="009D13BB"/>
    <w:rsid w:val="009D14E6"/>
    <w:rsid w:val="009D1830"/>
    <w:rsid w:val="009D1873"/>
    <w:rsid w:val="009D1B4B"/>
    <w:rsid w:val="009D1B91"/>
    <w:rsid w:val="009D1CDC"/>
    <w:rsid w:val="009D20E0"/>
    <w:rsid w:val="009D21FA"/>
    <w:rsid w:val="009D2290"/>
    <w:rsid w:val="009D24B4"/>
    <w:rsid w:val="009D27D1"/>
    <w:rsid w:val="009D2841"/>
    <w:rsid w:val="009D28ED"/>
    <w:rsid w:val="009D2AB4"/>
    <w:rsid w:val="009D3175"/>
    <w:rsid w:val="009D3452"/>
    <w:rsid w:val="009D3536"/>
    <w:rsid w:val="009D3548"/>
    <w:rsid w:val="009D3805"/>
    <w:rsid w:val="009D38D2"/>
    <w:rsid w:val="009D3EA1"/>
    <w:rsid w:val="009D3F02"/>
    <w:rsid w:val="009D4082"/>
    <w:rsid w:val="009D41A2"/>
    <w:rsid w:val="009D4404"/>
    <w:rsid w:val="009D45CD"/>
    <w:rsid w:val="009D4632"/>
    <w:rsid w:val="009D4642"/>
    <w:rsid w:val="009D47A8"/>
    <w:rsid w:val="009D4863"/>
    <w:rsid w:val="009D49F2"/>
    <w:rsid w:val="009D4BC8"/>
    <w:rsid w:val="009D4C03"/>
    <w:rsid w:val="009D4CC2"/>
    <w:rsid w:val="009D4CFA"/>
    <w:rsid w:val="009D4ED5"/>
    <w:rsid w:val="009D4F8A"/>
    <w:rsid w:val="009D4FE3"/>
    <w:rsid w:val="009D5AD1"/>
    <w:rsid w:val="009D5B55"/>
    <w:rsid w:val="009D5C79"/>
    <w:rsid w:val="009D5DA8"/>
    <w:rsid w:val="009D5E7A"/>
    <w:rsid w:val="009D5F48"/>
    <w:rsid w:val="009D6D15"/>
    <w:rsid w:val="009D6DF6"/>
    <w:rsid w:val="009D6F2E"/>
    <w:rsid w:val="009D6FE2"/>
    <w:rsid w:val="009D7097"/>
    <w:rsid w:val="009D7198"/>
    <w:rsid w:val="009D71DB"/>
    <w:rsid w:val="009D7266"/>
    <w:rsid w:val="009D739C"/>
    <w:rsid w:val="009D7441"/>
    <w:rsid w:val="009D74CA"/>
    <w:rsid w:val="009D7673"/>
    <w:rsid w:val="009D76F4"/>
    <w:rsid w:val="009D77EF"/>
    <w:rsid w:val="009D7A1B"/>
    <w:rsid w:val="009D7A51"/>
    <w:rsid w:val="009D7B5B"/>
    <w:rsid w:val="009D7B8E"/>
    <w:rsid w:val="009D7C6F"/>
    <w:rsid w:val="009D7E70"/>
    <w:rsid w:val="009D7F33"/>
    <w:rsid w:val="009D7F88"/>
    <w:rsid w:val="009D7FA9"/>
    <w:rsid w:val="009D7FD9"/>
    <w:rsid w:val="009D7FE6"/>
    <w:rsid w:val="009DFBC7"/>
    <w:rsid w:val="009E0036"/>
    <w:rsid w:val="009E0078"/>
    <w:rsid w:val="009E0354"/>
    <w:rsid w:val="009E03C8"/>
    <w:rsid w:val="009E03E0"/>
    <w:rsid w:val="009E082F"/>
    <w:rsid w:val="009E0867"/>
    <w:rsid w:val="009E08C0"/>
    <w:rsid w:val="009E0B7F"/>
    <w:rsid w:val="009E0D18"/>
    <w:rsid w:val="009E0D71"/>
    <w:rsid w:val="009E0E08"/>
    <w:rsid w:val="009E0EDD"/>
    <w:rsid w:val="009E0F77"/>
    <w:rsid w:val="009E1052"/>
    <w:rsid w:val="009E1062"/>
    <w:rsid w:val="009E1200"/>
    <w:rsid w:val="009E1343"/>
    <w:rsid w:val="009E140B"/>
    <w:rsid w:val="009E155B"/>
    <w:rsid w:val="009E1632"/>
    <w:rsid w:val="009E1725"/>
    <w:rsid w:val="009E199B"/>
    <w:rsid w:val="009E1B8E"/>
    <w:rsid w:val="009E1F7C"/>
    <w:rsid w:val="009E20A2"/>
    <w:rsid w:val="009E20E1"/>
    <w:rsid w:val="009E2121"/>
    <w:rsid w:val="009E21AB"/>
    <w:rsid w:val="009E2374"/>
    <w:rsid w:val="009E24E4"/>
    <w:rsid w:val="009E285F"/>
    <w:rsid w:val="009E2A96"/>
    <w:rsid w:val="009E2E48"/>
    <w:rsid w:val="009E2E81"/>
    <w:rsid w:val="009E2EBE"/>
    <w:rsid w:val="009E302E"/>
    <w:rsid w:val="009E3113"/>
    <w:rsid w:val="009E3374"/>
    <w:rsid w:val="009E33A8"/>
    <w:rsid w:val="009E34B2"/>
    <w:rsid w:val="009E364A"/>
    <w:rsid w:val="009E368F"/>
    <w:rsid w:val="009E37A3"/>
    <w:rsid w:val="009E37A5"/>
    <w:rsid w:val="009E37F5"/>
    <w:rsid w:val="009E3A1E"/>
    <w:rsid w:val="009E3C24"/>
    <w:rsid w:val="009E3CA9"/>
    <w:rsid w:val="009E404A"/>
    <w:rsid w:val="009E406F"/>
    <w:rsid w:val="009E40BC"/>
    <w:rsid w:val="009E4511"/>
    <w:rsid w:val="009E456D"/>
    <w:rsid w:val="009E4595"/>
    <w:rsid w:val="009E46A7"/>
    <w:rsid w:val="009E479F"/>
    <w:rsid w:val="009E485D"/>
    <w:rsid w:val="009E48E3"/>
    <w:rsid w:val="009E4929"/>
    <w:rsid w:val="009E4973"/>
    <w:rsid w:val="009E4FE5"/>
    <w:rsid w:val="009E507E"/>
    <w:rsid w:val="009E50F0"/>
    <w:rsid w:val="009E50FC"/>
    <w:rsid w:val="009E5167"/>
    <w:rsid w:val="009E51C9"/>
    <w:rsid w:val="009E5284"/>
    <w:rsid w:val="009E535C"/>
    <w:rsid w:val="009E539E"/>
    <w:rsid w:val="009E5426"/>
    <w:rsid w:val="009E55D9"/>
    <w:rsid w:val="009E5665"/>
    <w:rsid w:val="009E57C5"/>
    <w:rsid w:val="009E57F2"/>
    <w:rsid w:val="009E5990"/>
    <w:rsid w:val="009E5A26"/>
    <w:rsid w:val="009E5AE1"/>
    <w:rsid w:val="009E5DD6"/>
    <w:rsid w:val="009E62C7"/>
    <w:rsid w:val="009E658F"/>
    <w:rsid w:val="009E6666"/>
    <w:rsid w:val="009E6AA6"/>
    <w:rsid w:val="009E6ACB"/>
    <w:rsid w:val="009E6B13"/>
    <w:rsid w:val="009E6C2F"/>
    <w:rsid w:val="009E6C38"/>
    <w:rsid w:val="009E6CDF"/>
    <w:rsid w:val="009E6D8F"/>
    <w:rsid w:val="009E6ED2"/>
    <w:rsid w:val="009E6ED9"/>
    <w:rsid w:val="009E6EF8"/>
    <w:rsid w:val="009E6F47"/>
    <w:rsid w:val="009E6FA0"/>
    <w:rsid w:val="009E6FAE"/>
    <w:rsid w:val="009E700F"/>
    <w:rsid w:val="009E701E"/>
    <w:rsid w:val="009E70C3"/>
    <w:rsid w:val="009E7174"/>
    <w:rsid w:val="009E73C6"/>
    <w:rsid w:val="009E75E5"/>
    <w:rsid w:val="009E75FF"/>
    <w:rsid w:val="009E77B8"/>
    <w:rsid w:val="009E7A0D"/>
    <w:rsid w:val="009E7C8D"/>
    <w:rsid w:val="009E7CA4"/>
    <w:rsid w:val="009E7E44"/>
    <w:rsid w:val="009F0305"/>
    <w:rsid w:val="009F0376"/>
    <w:rsid w:val="009F04A2"/>
    <w:rsid w:val="009F0680"/>
    <w:rsid w:val="009F0949"/>
    <w:rsid w:val="009F0A2F"/>
    <w:rsid w:val="009F0CEE"/>
    <w:rsid w:val="009F0DDA"/>
    <w:rsid w:val="009F0E00"/>
    <w:rsid w:val="009F1112"/>
    <w:rsid w:val="009F1448"/>
    <w:rsid w:val="009F1651"/>
    <w:rsid w:val="009F1860"/>
    <w:rsid w:val="009F1870"/>
    <w:rsid w:val="009F18C9"/>
    <w:rsid w:val="009F1C8B"/>
    <w:rsid w:val="009F1C9A"/>
    <w:rsid w:val="009F1CE2"/>
    <w:rsid w:val="009F1D7C"/>
    <w:rsid w:val="009F1E2C"/>
    <w:rsid w:val="009F2177"/>
    <w:rsid w:val="009F21D1"/>
    <w:rsid w:val="009F241A"/>
    <w:rsid w:val="009F25C5"/>
    <w:rsid w:val="009F2794"/>
    <w:rsid w:val="009F27A7"/>
    <w:rsid w:val="009F2A2E"/>
    <w:rsid w:val="009F2A4F"/>
    <w:rsid w:val="009F2DCF"/>
    <w:rsid w:val="009F2F22"/>
    <w:rsid w:val="009F2F47"/>
    <w:rsid w:val="009F2F7A"/>
    <w:rsid w:val="009F319E"/>
    <w:rsid w:val="009F321B"/>
    <w:rsid w:val="009F3251"/>
    <w:rsid w:val="009F37C8"/>
    <w:rsid w:val="009F37F0"/>
    <w:rsid w:val="009F3984"/>
    <w:rsid w:val="009F3A16"/>
    <w:rsid w:val="009F3A43"/>
    <w:rsid w:val="009F3B6F"/>
    <w:rsid w:val="009F3ED4"/>
    <w:rsid w:val="009F3F04"/>
    <w:rsid w:val="009F3F4B"/>
    <w:rsid w:val="009F3F90"/>
    <w:rsid w:val="009F408A"/>
    <w:rsid w:val="009F40D7"/>
    <w:rsid w:val="009F4132"/>
    <w:rsid w:val="009F416A"/>
    <w:rsid w:val="009F41CC"/>
    <w:rsid w:val="009F4462"/>
    <w:rsid w:val="009F4586"/>
    <w:rsid w:val="009F463F"/>
    <w:rsid w:val="009F46E7"/>
    <w:rsid w:val="009F474F"/>
    <w:rsid w:val="009F47DC"/>
    <w:rsid w:val="009F4882"/>
    <w:rsid w:val="009F489F"/>
    <w:rsid w:val="009F4A55"/>
    <w:rsid w:val="009F4B59"/>
    <w:rsid w:val="009F4C33"/>
    <w:rsid w:val="009F4CD8"/>
    <w:rsid w:val="009F4EBF"/>
    <w:rsid w:val="009F4F09"/>
    <w:rsid w:val="009F4F0A"/>
    <w:rsid w:val="009F4F14"/>
    <w:rsid w:val="009F4F4F"/>
    <w:rsid w:val="009F51CF"/>
    <w:rsid w:val="009F52E0"/>
    <w:rsid w:val="009F545B"/>
    <w:rsid w:val="009F555C"/>
    <w:rsid w:val="009F58C1"/>
    <w:rsid w:val="009F5B5B"/>
    <w:rsid w:val="009F5C51"/>
    <w:rsid w:val="009F5CC1"/>
    <w:rsid w:val="009F5DAF"/>
    <w:rsid w:val="009F5FAC"/>
    <w:rsid w:val="009F608C"/>
    <w:rsid w:val="009F6197"/>
    <w:rsid w:val="009F62D4"/>
    <w:rsid w:val="009F6731"/>
    <w:rsid w:val="009F69D4"/>
    <w:rsid w:val="009F6ADA"/>
    <w:rsid w:val="009F6B44"/>
    <w:rsid w:val="009F6C09"/>
    <w:rsid w:val="009F6D66"/>
    <w:rsid w:val="009F6DC4"/>
    <w:rsid w:val="009F6E3D"/>
    <w:rsid w:val="009F7187"/>
    <w:rsid w:val="009F7264"/>
    <w:rsid w:val="009F73CB"/>
    <w:rsid w:val="009F741B"/>
    <w:rsid w:val="009F74AA"/>
    <w:rsid w:val="009F7506"/>
    <w:rsid w:val="009F750D"/>
    <w:rsid w:val="009F7516"/>
    <w:rsid w:val="009F77EE"/>
    <w:rsid w:val="009F786D"/>
    <w:rsid w:val="009F7B41"/>
    <w:rsid w:val="009F7B4C"/>
    <w:rsid w:val="009F7D29"/>
    <w:rsid w:val="009F7E47"/>
    <w:rsid w:val="00A000EC"/>
    <w:rsid w:val="00A00111"/>
    <w:rsid w:val="00A002AC"/>
    <w:rsid w:val="00A00483"/>
    <w:rsid w:val="00A00502"/>
    <w:rsid w:val="00A00575"/>
    <w:rsid w:val="00A00631"/>
    <w:rsid w:val="00A00806"/>
    <w:rsid w:val="00A00850"/>
    <w:rsid w:val="00A00860"/>
    <w:rsid w:val="00A008FC"/>
    <w:rsid w:val="00A00AA9"/>
    <w:rsid w:val="00A011E1"/>
    <w:rsid w:val="00A01300"/>
    <w:rsid w:val="00A01536"/>
    <w:rsid w:val="00A01917"/>
    <w:rsid w:val="00A01D1F"/>
    <w:rsid w:val="00A01D78"/>
    <w:rsid w:val="00A01E13"/>
    <w:rsid w:val="00A01EFE"/>
    <w:rsid w:val="00A01FB5"/>
    <w:rsid w:val="00A01FD7"/>
    <w:rsid w:val="00A02171"/>
    <w:rsid w:val="00A02332"/>
    <w:rsid w:val="00A0273F"/>
    <w:rsid w:val="00A02966"/>
    <w:rsid w:val="00A02996"/>
    <w:rsid w:val="00A02AA0"/>
    <w:rsid w:val="00A02C74"/>
    <w:rsid w:val="00A02EE1"/>
    <w:rsid w:val="00A02F73"/>
    <w:rsid w:val="00A02FB9"/>
    <w:rsid w:val="00A032F2"/>
    <w:rsid w:val="00A032FD"/>
    <w:rsid w:val="00A03442"/>
    <w:rsid w:val="00A0348B"/>
    <w:rsid w:val="00A03527"/>
    <w:rsid w:val="00A038B8"/>
    <w:rsid w:val="00A03981"/>
    <w:rsid w:val="00A039BC"/>
    <w:rsid w:val="00A03AC4"/>
    <w:rsid w:val="00A03C89"/>
    <w:rsid w:val="00A03C9D"/>
    <w:rsid w:val="00A04175"/>
    <w:rsid w:val="00A042EC"/>
    <w:rsid w:val="00A04405"/>
    <w:rsid w:val="00A0473C"/>
    <w:rsid w:val="00A047F5"/>
    <w:rsid w:val="00A04AC1"/>
    <w:rsid w:val="00A04D7E"/>
    <w:rsid w:val="00A04D7F"/>
    <w:rsid w:val="00A04EB8"/>
    <w:rsid w:val="00A05102"/>
    <w:rsid w:val="00A05178"/>
    <w:rsid w:val="00A05216"/>
    <w:rsid w:val="00A0567B"/>
    <w:rsid w:val="00A05879"/>
    <w:rsid w:val="00A05906"/>
    <w:rsid w:val="00A05919"/>
    <w:rsid w:val="00A05C06"/>
    <w:rsid w:val="00A05CA2"/>
    <w:rsid w:val="00A05CF4"/>
    <w:rsid w:val="00A05F69"/>
    <w:rsid w:val="00A05FC4"/>
    <w:rsid w:val="00A06127"/>
    <w:rsid w:val="00A062ED"/>
    <w:rsid w:val="00A063EB"/>
    <w:rsid w:val="00A066C9"/>
    <w:rsid w:val="00A0675F"/>
    <w:rsid w:val="00A067C7"/>
    <w:rsid w:val="00A06A7C"/>
    <w:rsid w:val="00A06CFA"/>
    <w:rsid w:val="00A06DA4"/>
    <w:rsid w:val="00A06DBC"/>
    <w:rsid w:val="00A06DC0"/>
    <w:rsid w:val="00A06EFE"/>
    <w:rsid w:val="00A07222"/>
    <w:rsid w:val="00A07415"/>
    <w:rsid w:val="00A0782B"/>
    <w:rsid w:val="00A07907"/>
    <w:rsid w:val="00A0799E"/>
    <w:rsid w:val="00A07A05"/>
    <w:rsid w:val="00A07A40"/>
    <w:rsid w:val="00A07E48"/>
    <w:rsid w:val="00A07F5B"/>
    <w:rsid w:val="00A07F73"/>
    <w:rsid w:val="00A1009F"/>
    <w:rsid w:val="00A10101"/>
    <w:rsid w:val="00A10282"/>
    <w:rsid w:val="00A1065B"/>
    <w:rsid w:val="00A10E8B"/>
    <w:rsid w:val="00A10F05"/>
    <w:rsid w:val="00A10FD7"/>
    <w:rsid w:val="00A11103"/>
    <w:rsid w:val="00A115D4"/>
    <w:rsid w:val="00A11695"/>
    <w:rsid w:val="00A11738"/>
    <w:rsid w:val="00A11779"/>
    <w:rsid w:val="00A117C6"/>
    <w:rsid w:val="00A11841"/>
    <w:rsid w:val="00A1189B"/>
    <w:rsid w:val="00A11962"/>
    <w:rsid w:val="00A11A4B"/>
    <w:rsid w:val="00A11A69"/>
    <w:rsid w:val="00A12263"/>
    <w:rsid w:val="00A12514"/>
    <w:rsid w:val="00A12581"/>
    <w:rsid w:val="00A125F2"/>
    <w:rsid w:val="00A1288F"/>
    <w:rsid w:val="00A12CBF"/>
    <w:rsid w:val="00A12F2C"/>
    <w:rsid w:val="00A12F69"/>
    <w:rsid w:val="00A1304C"/>
    <w:rsid w:val="00A13125"/>
    <w:rsid w:val="00A13154"/>
    <w:rsid w:val="00A131B1"/>
    <w:rsid w:val="00A13338"/>
    <w:rsid w:val="00A134C3"/>
    <w:rsid w:val="00A13520"/>
    <w:rsid w:val="00A139AF"/>
    <w:rsid w:val="00A13B80"/>
    <w:rsid w:val="00A13B8A"/>
    <w:rsid w:val="00A13B92"/>
    <w:rsid w:val="00A13C14"/>
    <w:rsid w:val="00A13F19"/>
    <w:rsid w:val="00A14070"/>
    <w:rsid w:val="00A1411A"/>
    <w:rsid w:val="00A141A2"/>
    <w:rsid w:val="00A141B4"/>
    <w:rsid w:val="00A14405"/>
    <w:rsid w:val="00A14488"/>
    <w:rsid w:val="00A14494"/>
    <w:rsid w:val="00A1467D"/>
    <w:rsid w:val="00A1471D"/>
    <w:rsid w:val="00A147CA"/>
    <w:rsid w:val="00A14880"/>
    <w:rsid w:val="00A149B1"/>
    <w:rsid w:val="00A14C13"/>
    <w:rsid w:val="00A14CD9"/>
    <w:rsid w:val="00A14D1F"/>
    <w:rsid w:val="00A14E6E"/>
    <w:rsid w:val="00A14FF7"/>
    <w:rsid w:val="00A15176"/>
    <w:rsid w:val="00A153A1"/>
    <w:rsid w:val="00A1558C"/>
    <w:rsid w:val="00A1565D"/>
    <w:rsid w:val="00A156C7"/>
    <w:rsid w:val="00A158B5"/>
    <w:rsid w:val="00A15B82"/>
    <w:rsid w:val="00A15E3E"/>
    <w:rsid w:val="00A15E96"/>
    <w:rsid w:val="00A1621B"/>
    <w:rsid w:val="00A16278"/>
    <w:rsid w:val="00A16554"/>
    <w:rsid w:val="00A16686"/>
    <w:rsid w:val="00A1673F"/>
    <w:rsid w:val="00A16788"/>
    <w:rsid w:val="00A1693A"/>
    <w:rsid w:val="00A16A72"/>
    <w:rsid w:val="00A16B51"/>
    <w:rsid w:val="00A171CD"/>
    <w:rsid w:val="00A1726D"/>
    <w:rsid w:val="00A17423"/>
    <w:rsid w:val="00A17A58"/>
    <w:rsid w:val="00A17AF3"/>
    <w:rsid w:val="00A17B3C"/>
    <w:rsid w:val="00A17C8A"/>
    <w:rsid w:val="00A17F2A"/>
    <w:rsid w:val="00A17FAC"/>
    <w:rsid w:val="00A200BA"/>
    <w:rsid w:val="00A200F2"/>
    <w:rsid w:val="00A20152"/>
    <w:rsid w:val="00A20222"/>
    <w:rsid w:val="00A202E2"/>
    <w:rsid w:val="00A203DA"/>
    <w:rsid w:val="00A2048B"/>
    <w:rsid w:val="00A207E1"/>
    <w:rsid w:val="00A20817"/>
    <w:rsid w:val="00A20836"/>
    <w:rsid w:val="00A208D7"/>
    <w:rsid w:val="00A20AB9"/>
    <w:rsid w:val="00A20B56"/>
    <w:rsid w:val="00A20BA8"/>
    <w:rsid w:val="00A20D68"/>
    <w:rsid w:val="00A20F1B"/>
    <w:rsid w:val="00A20F52"/>
    <w:rsid w:val="00A20FBA"/>
    <w:rsid w:val="00A210C1"/>
    <w:rsid w:val="00A21165"/>
    <w:rsid w:val="00A214DA"/>
    <w:rsid w:val="00A21512"/>
    <w:rsid w:val="00A215B4"/>
    <w:rsid w:val="00A21C04"/>
    <w:rsid w:val="00A21E11"/>
    <w:rsid w:val="00A21E50"/>
    <w:rsid w:val="00A21EC5"/>
    <w:rsid w:val="00A21F25"/>
    <w:rsid w:val="00A21F45"/>
    <w:rsid w:val="00A21F8A"/>
    <w:rsid w:val="00A220D1"/>
    <w:rsid w:val="00A220DD"/>
    <w:rsid w:val="00A221B3"/>
    <w:rsid w:val="00A221F3"/>
    <w:rsid w:val="00A223F1"/>
    <w:rsid w:val="00A2257A"/>
    <w:rsid w:val="00A227C6"/>
    <w:rsid w:val="00A22B08"/>
    <w:rsid w:val="00A22C95"/>
    <w:rsid w:val="00A22F39"/>
    <w:rsid w:val="00A23048"/>
    <w:rsid w:val="00A23150"/>
    <w:rsid w:val="00A231E0"/>
    <w:rsid w:val="00A232FC"/>
    <w:rsid w:val="00A23A2F"/>
    <w:rsid w:val="00A23AD1"/>
    <w:rsid w:val="00A23B08"/>
    <w:rsid w:val="00A23B7A"/>
    <w:rsid w:val="00A23B94"/>
    <w:rsid w:val="00A241E3"/>
    <w:rsid w:val="00A243DD"/>
    <w:rsid w:val="00A243FB"/>
    <w:rsid w:val="00A245E4"/>
    <w:rsid w:val="00A24798"/>
    <w:rsid w:val="00A2486C"/>
    <w:rsid w:val="00A24918"/>
    <w:rsid w:val="00A24A58"/>
    <w:rsid w:val="00A24A9B"/>
    <w:rsid w:val="00A24B8A"/>
    <w:rsid w:val="00A24C84"/>
    <w:rsid w:val="00A24E6A"/>
    <w:rsid w:val="00A250CB"/>
    <w:rsid w:val="00A25303"/>
    <w:rsid w:val="00A253A6"/>
    <w:rsid w:val="00A254F4"/>
    <w:rsid w:val="00A2550D"/>
    <w:rsid w:val="00A255D3"/>
    <w:rsid w:val="00A25653"/>
    <w:rsid w:val="00A2578A"/>
    <w:rsid w:val="00A2589E"/>
    <w:rsid w:val="00A258FC"/>
    <w:rsid w:val="00A25946"/>
    <w:rsid w:val="00A259C2"/>
    <w:rsid w:val="00A25A17"/>
    <w:rsid w:val="00A25E54"/>
    <w:rsid w:val="00A25F87"/>
    <w:rsid w:val="00A261C5"/>
    <w:rsid w:val="00A2621A"/>
    <w:rsid w:val="00A26289"/>
    <w:rsid w:val="00A262ED"/>
    <w:rsid w:val="00A26467"/>
    <w:rsid w:val="00A26599"/>
    <w:rsid w:val="00A2663F"/>
    <w:rsid w:val="00A26994"/>
    <w:rsid w:val="00A26AB8"/>
    <w:rsid w:val="00A26C64"/>
    <w:rsid w:val="00A26DE6"/>
    <w:rsid w:val="00A26E25"/>
    <w:rsid w:val="00A26F81"/>
    <w:rsid w:val="00A27092"/>
    <w:rsid w:val="00A270AB"/>
    <w:rsid w:val="00A27312"/>
    <w:rsid w:val="00A2754D"/>
    <w:rsid w:val="00A27839"/>
    <w:rsid w:val="00A27AAB"/>
    <w:rsid w:val="00A27C3E"/>
    <w:rsid w:val="00A27CAD"/>
    <w:rsid w:val="00A27DD5"/>
    <w:rsid w:val="00A27EE8"/>
    <w:rsid w:val="00A30187"/>
    <w:rsid w:val="00A3018E"/>
    <w:rsid w:val="00A30209"/>
    <w:rsid w:val="00A3030E"/>
    <w:rsid w:val="00A30423"/>
    <w:rsid w:val="00A30541"/>
    <w:rsid w:val="00A3055E"/>
    <w:rsid w:val="00A307E9"/>
    <w:rsid w:val="00A30AA0"/>
    <w:rsid w:val="00A30AB6"/>
    <w:rsid w:val="00A30BAF"/>
    <w:rsid w:val="00A30E1D"/>
    <w:rsid w:val="00A30F99"/>
    <w:rsid w:val="00A3118F"/>
    <w:rsid w:val="00A3138B"/>
    <w:rsid w:val="00A313D5"/>
    <w:rsid w:val="00A31523"/>
    <w:rsid w:val="00A31631"/>
    <w:rsid w:val="00A31834"/>
    <w:rsid w:val="00A31CE9"/>
    <w:rsid w:val="00A31D74"/>
    <w:rsid w:val="00A31D77"/>
    <w:rsid w:val="00A31FAD"/>
    <w:rsid w:val="00A323DA"/>
    <w:rsid w:val="00A326E8"/>
    <w:rsid w:val="00A32A9C"/>
    <w:rsid w:val="00A32B3E"/>
    <w:rsid w:val="00A32C25"/>
    <w:rsid w:val="00A32E88"/>
    <w:rsid w:val="00A3307E"/>
    <w:rsid w:val="00A33120"/>
    <w:rsid w:val="00A333E7"/>
    <w:rsid w:val="00A3353B"/>
    <w:rsid w:val="00A335F5"/>
    <w:rsid w:val="00A33624"/>
    <w:rsid w:val="00A3371E"/>
    <w:rsid w:val="00A3380C"/>
    <w:rsid w:val="00A33998"/>
    <w:rsid w:val="00A33A71"/>
    <w:rsid w:val="00A33C2E"/>
    <w:rsid w:val="00A33D4A"/>
    <w:rsid w:val="00A342E8"/>
    <w:rsid w:val="00A343CF"/>
    <w:rsid w:val="00A34852"/>
    <w:rsid w:val="00A34A20"/>
    <w:rsid w:val="00A34A39"/>
    <w:rsid w:val="00A34B5E"/>
    <w:rsid w:val="00A35184"/>
    <w:rsid w:val="00A3526E"/>
    <w:rsid w:val="00A354D0"/>
    <w:rsid w:val="00A35592"/>
    <w:rsid w:val="00A357E7"/>
    <w:rsid w:val="00A35852"/>
    <w:rsid w:val="00A3588E"/>
    <w:rsid w:val="00A358C2"/>
    <w:rsid w:val="00A35AC9"/>
    <w:rsid w:val="00A35E59"/>
    <w:rsid w:val="00A36075"/>
    <w:rsid w:val="00A3608F"/>
    <w:rsid w:val="00A362AD"/>
    <w:rsid w:val="00A362C9"/>
    <w:rsid w:val="00A368B1"/>
    <w:rsid w:val="00A36BEF"/>
    <w:rsid w:val="00A36D0C"/>
    <w:rsid w:val="00A36DD4"/>
    <w:rsid w:val="00A36EC4"/>
    <w:rsid w:val="00A36FFC"/>
    <w:rsid w:val="00A370E6"/>
    <w:rsid w:val="00A3718C"/>
    <w:rsid w:val="00A3723F"/>
    <w:rsid w:val="00A3724E"/>
    <w:rsid w:val="00A37346"/>
    <w:rsid w:val="00A373A5"/>
    <w:rsid w:val="00A373DA"/>
    <w:rsid w:val="00A373E3"/>
    <w:rsid w:val="00A374A8"/>
    <w:rsid w:val="00A374C9"/>
    <w:rsid w:val="00A3766B"/>
    <w:rsid w:val="00A376D7"/>
    <w:rsid w:val="00A37715"/>
    <w:rsid w:val="00A378AD"/>
    <w:rsid w:val="00A37917"/>
    <w:rsid w:val="00A379DA"/>
    <w:rsid w:val="00A37C12"/>
    <w:rsid w:val="00A37D06"/>
    <w:rsid w:val="00A37D8C"/>
    <w:rsid w:val="00A4001A"/>
    <w:rsid w:val="00A401F8"/>
    <w:rsid w:val="00A40231"/>
    <w:rsid w:val="00A40491"/>
    <w:rsid w:val="00A405EB"/>
    <w:rsid w:val="00A406D4"/>
    <w:rsid w:val="00A407BC"/>
    <w:rsid w:val="00A40A0F"/>
    <w:rsid w:val="00A40CDE"/>
    <w:rsid w:val="00A40D7C"/>
    <w:rsid w:val="00A40D83"/>
    <w:rsid w:val="00A40E26"/>
    <w:rsid w:val="00A40F40"/>
    <w:rsid w:val="00A4134B"/>
    <w:rsid w:val="00A41369"/>
    <w:rsid w:val="00A415AE"/>
    <w:rsid w:val="00A415D0"/>
    <w:rsid w:val="00A417BC"/>
    <w:rsid w:val="00A417F8"/>
    <w:rsid w:val="00A418BB"/>
    <w:rsid w:val="00A418D9"/>
    <w:rsid w:val="00A4196A"/>
    <w:rsid w:val="00A41A02"/>
    <w:rsid w:val="00A41A55"/>
    <w:rsid w:val="00A41EEF"/>
    <w:rsid w:val="00A4202E"/>
    <w:rsid w:val="00A42063"/>
    <w:rsid w:val="00A42129"/>
    <w:rsid w:val="00A421DE"/>
    <w:rsid w:val="00A4261F"/>
    <w:rsid w:val="00A4268D"/>
    <w:rsid w:val="00A428E3"/>
    <w:rsid w:val="00A42937"/>
    <w:rsid w:val="00A429FD"/>
    <w:rsid w:val="00A42A6C"/>
    <w:rsid w:val="00A42C13"/>
    <w:rsid w:val="00A42D09"/>
    <w:rsid w:val="00A42D59"/>
    <w:rsid w:val="00A43081"/>
    <w:rsid w:val="00A433C9"/>
    <w:rsid w:val="00A4381E"/>
    <w:rsid w:val="00A43837"/>
    <w:rsid w:val="00A43848"/>
    <w:rsid w:val="00A43B8A"/>
    <w:rsid w:val="00A43CE4"/>
    <w:rsid w:val="00A43E76"/>
    <w:rsid w:val="00A43E91"/>
    <w:rsid w:val="00A4408A"/>
    <w:rsid w:val="00A440B2"/>
    <w:rsid w:val="00A44112"/>
    <w:rsid w:val="00A4431B"/>
    <w:rsid w:val="00A44439"/>
    <w:rsid w:val="00A4480E"/>
    <w:rsid w:val="00A4485D"/>
    <w:rsid w:val="00A44941"/>
    <w:rsid w:val="00A44A39"/>
    <w:rsid w:val="00A44B17"/>
    <w:rsid w:val="00A44B9C"/>
    <w:rsid w:val="00A44BBB"/>
    <w:rsid w:val="00A44C64"/>
    <w:rsid w:val="00A44D09"/>
    <w:rsid w:val="00A44D9D"/>
    <w:rsid w:val="00A44FC6"/>
    <w:rsid w:val="00A4505D"/>
    <w:rsid w:val="00A45074"/>
    <w:rsid w:val="00A4507B"/>
    <w:rsid w:val="00A451E9"/>
    <w:rsid w:val="00A453CB"/>
    <w:rsid w:val="00A45731"/>
    <w:rsid w:val="00A457A0"/>
    <w:rsid w:val="00A45AE4"/>
    <w:rsid w:val="00A45C86"/>
    <w:rsid w:val="00A45CF2"/>
    <w:rsid w:val="00A45DCF"/>
    <w:rsid w:val="00A45FCA"/>
    <w:rsid w:val="00A46175"/>
    <w:rsid w:val="00A462E7"/>
    <w:rsid w:val="00A4636E"/>
    <w:rsid w:val="00A46420"/>
    <w:rsid w:val="00A467AC"/>
    <w:rsid w:val="00A467F3"/>
    <w:rsid w:val="00A4681F"/>
    <w:rsid w:val="00A46833"/>
    <w:rsid w:val="00A46870"/>
    <w:rsid w:val="00A46964"/>
    <w:rsid w:val="00A46A34"/>
    <w:rsid w:val="00A46B3A"/>
    <w:rsid w:val="00A46CD9"/>
    <w:rsid w:val="00A46CDB"/>
    <w:rsid w:val="00A46EF1"/>
    <w:rsid w:val="00A4713F"/>
    <w:rsid w:val="00A471BE"/>
    <w:rsid w:val="00A47241"/>
    <w:rsid w:val="00A47366"/>
    <w:rsid w:val="00A4742D"/>
    <w:rsid w:val="00A47489"/>
    <w:rsid w:val="00A47732"/>
    <w:rsid w:val="00A479D6"/>
    <w:rsid w:val="00A47AE3"/>
    <w:rsid w:val="00A47AF1"/>
    <w:rsid w:val="00A47C2B"/>
    <w:rsid w:val="00A47D26"/>
    <w:rsid w:val="00A47D71"/>
    <w:rsid w:val="00A47F74"/>
    <w:rsid w:val="00A47FDC"/>
    <w:rsid w:val="00A50039"/>
    <w:rsid w:val="00A5024B"/>
    <w:rsid w:val="00A503C6"/>
    <w:rsid w:val="00A50522"/>
    <w:rsid w:val="00A5058B"/>
    <w:rsid w:val="00A507B3"/>
    <w:rsid w:val="00A509BF"/>
    <w:rsid w:val="00A50AAF"/>
    <w:rsid w:val="00A50B84"/>
    <w:rsid w:val="00A50C90"/>
    <w:rsid w:val="00A50DBA"/>
    <w:rsid w:val="00A50DC4"/>
    <w:rsid w:val="00A50E2F"/>
    <w:rsid w:val="00A50E61"/>
    <w:rsid w:val="00A50F83"/>
    <w:rsid w:val="00A5103F"/>
    <w:rsid w:val="00A5118C"/>
    <w:rsid w:val="00A511EF"/>
    <w:rsid w:val="00A5150D"/>
    <w:rsid w:val="00A5161E"/>
    <w:rsid w:val="00A51911"/>
    <w:rsid w:val="00A51988"/>
    <w:rsid w:val="00A519A3"/>
    <w:rsid w:val="00A51A48"/>
    <w:rsid w:val="00A51A90"/>
    <w:rsid w:val="00A51AC9"/>
    <w:rsid w:val="00A51C0D"/>
    <w:rsid w:val="00A51CE4"/>
    <w:rsid w:val="00A51D02"/>
    <w:rsid w:val="00A51D54"/>
    <w:rsid w:val="00A52025"/>
    <w:rsid w:val="00A52248"/>
    <w:rsid w:val="00A522C2"/>
    <w:rsid w:val="00A52970"/>
    <w:rsid w:val="00A52987"/>
    <w:rsid w:val="00A529DE"/>
    <w:rsid w:val="00A52B0C"/>
    <w:rsid w:val="00A52B58"/>
    <w:rsid w:val="00A52B96"/>
    <w:rsid w:val="00A52CD7"/>
    <w:rsid w:val="00A52DAB"/>
    <w:rsid w:val="00A52F2D"/>
    <w:rsid w:val="00A52FC2"/>
    <w:rsid w:val="00A535F2"/>
    <w:rsid w:val="00A53639"/>
    <w:rsid w:val="00A53987"/>
    <w:rsid w:val="00A53A9D"/>
    <w:rsid w:val="00A53BCB"/>
    <w:rsid w:val="00A53C6F"/>
    <w:rsid w:val="00A53CA5"/>
    <w:rsid w:val="00A53CD3"/>
    <w:rsid w:val="00A53CE1"/>
    <w:rsid w:val="00A53E39"/>
    <w:rsid w:val="00A53E8B"/>
    <w:rsid w:val="00A53EAC"/>
    <w:rsid w:val="00A53EDC"/>
    <w:rsid w:val="00A541B6"/>
    <w:rsid w:val="00A541E5"/>
    <w:rsid w:val="00A541F7"/>
    <w:rsid w:val="00A543C8"/>
    <w:rsid w:val="00A5441B"/>
    <w:rsid w:val="00A54705"/>
    <w:rsid w:val="00A548F6"/>
    <w:rsid w:val="00A54923"/>
    <w:rsid w:val="00A54978"/>
    <w:rsid w:val="00A54F57"/>
    <w:rsid w:val="00A54FE6"/>
    <w:rsid w:val="00A55123"/>
    <w:rsid w:val="00A55177"/>
    <w:rsid w:val="00A551A6"/>
    <w:rsid w:val="00A552B6"/>
    <w:rsid w:val="00A5536B"/>
    <w:rsid w:val="00A5542D"/>
    <w:rsid w:val="00A554F6"/>
    <w:rsid w:val="00A55A5B"/>
    <w:rsid w:val="00A55ACD"/>
    <w:rsid w:val="00A55E56"/>
    <w:rsid w:val="00A55ECE"/>
    <w:rsid w:val="00A56025"/>
    <w:rsid w:val="00A56265"/>
    <w:rsid w:val="00A56374"/>
    <w:rsid w:val="00A563B0"/>
    <w:rsid w:val="00A56659"/>
    <w:rsid w:val="00A56A94"/>
    <w:rsid w:val="00A56AE2"/>
    <w:rsid w:val="00A56D11"/>
    <w:rsid w:val="00A56DA6"/>
    <w:rsid w:val="00A56EC5"/>
    <w:rsid w:val="00A56EFA"/>
    <w:rsid w:val="00A5715E"/>
    <w:rsid w:val="00A5724F"/>
    <w:rsid w:val="00A57290"/>
    <w:rsid w:val="00A57297"/>
    <w:rsid w:val="00A5763D"/>
    <w:rsid w:val="00A577C3"/>
    <w:rsid w:val="00A578EB"/>
    <w:rsid w:val="00A57940"/>
    <w:rsid w:val="00A57A7B"/>
    <w:rsid w:val="00A57A89"/>
    <w:rsid w:val="00A57F3A"/>
    <w:rsid w:val="00A602CA"/>
    <w:rsid w:val="00A6040E"/>
    <w:rsid w:val="00A60515"/>
    <w:rsid w:val="00A6078E"/>
    <w:rsid w:val="00A60874"/>
    <w:rsid w:val="00A60CBE"/>
    <w:rsid w:val="00A60D5C"/>
    <w:rsid w:val="00A60E9C"/>
    <w:rsid w:val="00A60EC4"/>
    <w:rsid w:val="00A60FF4"/>
    <w:rsid w:val="00A61023"/>
    <w:rsid w:val="00A6106A"/>
    <w:rsid w:val="00A611FB"/>
    <w:rsid w:val="00A6121A"/>
    <w:rsid w:val="00A61289"/>
    <w:rsid w:val="00A61307"/>
    <w:rsid w:val="00A61596"/>
    <w:rsid w:val="00A61598"/>
    <w:rsid w:val="00A6172E"/>
    <w:rsid w:val="00A619E4"/>
    <w:rsid w:val="00A61CEA"/>
    <w:rsid w:val="00A61EAE"/>
    <w:rsid w:val="00A61F45"/>
    <w:rsid w:val="00A62322"/>
    <w:rsid w:val="00A62353"/>
    <w:rsid w:val="00A62464"/>
    <w:rsid w:val="00A62554"/>
    <w:rsid w:val="00A62566"/>
    <w:rsid w:val="00A625B0"/>
    <w:rsid w:val="00A627D1"/>
    <w:rsid w:val="00A627FF"/>
    <w:rsid w:val="00A62AE4"/>
    <w:rsid w:val="00A62D4C"/>
    <w:rsid w:val="00A63081"/>
    <w:rsid w:val="00A6312B"/>
    <w:rsid w:val="00A6366F"/>
    <w:rsid w:val="00A6380D"/>
    <w:rsid w:val="00A63A31"/>
    <w:rsid w:val="00A63BDD"/>
    <w:rsid w:val="00A63CF9"/>
    <w:rsid w:val="00A63DC1"/>
    <w:rsid w:val="00A63E29"/>
    <w:rsid w:val="00A64137"/>
    <w:rsid w:val="00A641D0"/>
    <w:rsid w:val="00A64219"/>
    <w:rsid w:val="00A6427C"/>
    <w:rsid w:val="00A6436C"/>
    <w:rsid w:val="00A644B4"/>
    <w:rsid w:val="00A64822"/>
    <w:rsid w:val="00A64A05"/>
    <w:rsid w:val="00A64B46"/>
    <w:rsid w:val="00A64F1B"/>
    <w:rsid w:val="00A64F5B"/>
    <w:rsid w:val="00A650EE"/>
    <w:rsid w:val="00A65118"/>
    <w:rsid w:val="00A6526B"/>
    <w:rsid w:val="00A652C7"/>
    <w:rsid w:val="00A65446"/>
    <w:rsid w:val="00A654AC"/>
    <w:rsid w:val="00A654B0"/>
    <w:rsid w:val="00A6563D"/>
    <w:rsid w:val="00A656AD"/>
    <w:rsid w:val="00A65A3A"/>
    <w:rsid w:val="00A65BE1"/>
    <w:rsid w:val="00A65BEA"/>
    <w:rsid w:val="00A65D0C"/>
    <w:rsid w:val="00A65F6B"/>
    <w:rsid w:val="00A65F8D"/>
    <w:rsid w:val="00A660C3"/>
    <w:rsid w:val="00A66196"/>
    <w:rsid w:val="00A6630A"/>
    <w:rsid w:val="00A6635B"/>
    <w:rsid w:val="00A6644F"/>
    <w:rsid w:val="00A66870"/>
    <w:rsid w:val="00A66BE1"/>
    <w:rsid w:val="00A66DC5"/>
    <w:rsid w:val="00A66E96"/>
    <w:rsid w:val="00A66EAC"/>
    <w:rsid w:val="00A670AC"/>
    <w:rsid w:val="00A673C4"/>
    <w:rsid w:val="00A6749E"/>
    <w:rsid w:val="00A67500"/>
    <w:rsid w:val="00A67692"/>
    <w:rsid w:val="00A677CE"/>
    <w:rsid w:val="00A67A77"/>
    <w:rsid w:val="00A67C54"/>
    <w:rsid w:val="00A7021E"/>
    <w:rsid w:val="00A702DA"/>
    <w:rsid w:val="00A7049D"/>
    <w:rsid w:val="00A70576"/>
    <w:rsid w:val="00A70799"/>
    <w:rsid w:val="00A70809"/>
    <w:rsid w:val="00A70A77"/>
    <w:rsid w:val="00A70E89"/>
    <w:rsid w:val="00A70EC0"/>
    <w:rsid w:val="00A70FC8"/>
    <w:rsid w:val="00A71035"/>
    <w:rsid w:val="00A710D1"/>
    <w:rsid w:val="00A710EA"/>
    <w:rsid w:val="00A712E7"/>
    <w:rsid w:val="00A713F9"/>
    <w:rsid w:val="00A715AE"/>
    <w:rsid w:val="00A717BF"/>
    <w:rsid w:val="00A71B8F"/>
    <w:rsid w:val="00A71C48"/>
    <w:rsid w:val="00A71C50"/>
    <w:rsid w:val="00A71E15"/>
    <w:rsid w:val="00A71E9F"/>
    <w:rsid w:val="00A71F92"/>
    <w:rsid w:val="00A71FE9"/>
    <w:rsid w:val="00A721EB"/>
    <w:rsid w:val="00A72326"/>
    <w:rsid w:val="00A72579"/>
    <w:rsid w:val="00A7264C"/>
    <w:rsid w:val="00A726C4"/>
    <w:rsid w:val="00A727A2"/>
    <w:rsid w:val="00A72844"/>
    <w:rsid w:val="00A72A8F"/>
    <w:rsid w:val="00A72ADA"/>
    <w:rsid w:val="00A72AF5"/>
    <w:rsid w:val="00A72B32"/>
    <w:rsid w:val="00A72D00"/>
    <w:rsid w:val="00A72D01"/>
    <w:rsid w:val="00A72D6C"/>
    <w:rsid w:val="00A72EAD"/>
    <w:rsid w:val="00A7326A"/>
    <w:rsid w:val="00A7341B"/>
    <w:rsid w:val="00A73536"/>
    <w:rsid w:val="00A738A6"/>
    <w:rsid w:val="00A73947"/>
    <w:rsid w:val="00A73A7C"/>
    <w:rsid w:val="00A73C5D"/>
    <w:rsid w:val="00A73FC2"/>
    <w:rsid w:val="00A73FEB"/>
    <w:rsid w:val="00A74029"/>
    <w:rsid w:val="00A747A5"/>
    <w:rsid w:val="00A748CF"/>
    <w:rsid w:val="00A74928"/>
    <w:rsid w:val="00A74969"/>
    <w:rsid w:val="00A74AE2"/>
    <w:rsid w:val="00A74C24"/>
    <w:rsid w:val="00A74E0C"/>
    <w:rsid w:val="00A74F10"/>
    <w:rsid w:val="00A75035"/>
    <w:rsid w:val="00A751B6"/>
    <w:rsid w:val="00A751D8"/>
    <w:rsid w:val="00A751EE"/>
    <w:rsid w:val="00A7525F"/>
    <w:rsid w:val="00A7527E"/>
    <w:rsid w:val="00A752C8"/>
    <w:rsid w:val="00A75426"/>
    <w:rsid w:val="00A754CA"/>
    <w:rsid w:val="00A758DF"/>
    <w:rsid w:val="00A75922"/>
    <w:rsid w:val="00A75E06"/>
    <w:rsid w:val="00A75E44"/>
    <w:rsid w:val="00A7611B"/>
    <w:rsid w:val="00A76395"/>
    <w:rsid w:val="00A76B88"/>
    <w:rsid w:val="00A76CD8"/>
    <w:rsid w:val="00A76D0D"/>
    <w:rsid w:val="00A76E0F"/>
    <w:rsid w:val="00A77011"/>
    <w:rsid w:val="00A77087"/>
    <w:rsid w:val="00A771CD"/>
    <w:rsid w:val="00A7751F"/>
    <w:rsid w:val="00A7754A"/>
    <w:rsid w:val="00A777D8"/>
    <w:rsid w:val="00A779C3"/>
    <w:rsid w:val="00A77C4F"/>
    <w:rsid w:val="00A77E25"/>
    <w:rsid w:val="00A77F6A"/>
    <w:rsid w:val="00A80207"/>
    <w:rsid w:val="00A80219"/>
    <w:rsid w:val="00A802A7"/>
    <w:rsid w:val="00A803F1"/>
    <w:rsid w:val="00A80643"/>
    <w:rsid w:val="00A80722"/>
    <w:rsid w:val="00A80AF7"/>
    <w:rsid w:val="00A80BEC"/>
    <w:rsid w:val="00A80E75"/>
    <w:rsid w:val="00A80E8C"/>
    <w:rsid w:val="00A80FB4"/>
    <w:rsid w:val="00A810EB"/>
    <w:rsid w:val="00A8119C"/>
    <w:rsid w:val="00A813FA"/>
    <w:rsid w:val="00A814C3"/>
    <w:rsid w:val="00A81501"/>
    <w:rsid w:val="00A8150C"/>
    <w:rsid w:val="00A816D9"/>
    <w:rsid w:val="00A8172C"/>
    <w:rsid w:val="00A81B9F"/>
    <w:rsid w:val="00A82032"/>
    <w:rsid w:val="00A8218D"/>
    <w:rsid w:val="00A823DB"/>
    <w:rsid w:val="00A828DD"/>
    <w:rsid w:val="00A82906"/>
    <w:rsid w:val="00A829F3"/>
    <w:rsid w:val="00A82A12"/>
    <w:rsid w:val="00A82A2E"/>
    <w:rsid w:val="00A82DAB"/>
    <w:rsid w:val="00A83124"/>
    <w:rsid w:val="00A83149"/>
    <w:rsid w:val="00A832B2"/>
    <w:rsid w:val="00A8347F"/>
    <w:rsid w:val="00A834A5"/>
    <w:rsid w:val="00A834C5"/>
    <w:rsid w:val="00A835B6"/>
    <w:rsid w:val="00A83D10"/>
    <w:rsid w:val="00A83D80"/>
    <w:rsid w:val="00A83E6D"/>
    <w:rsid w:val="00A84287"/>
    <w:rsid w:val="00A8446D"/>
    <w:rsid w:val="00A84480"/>
    <w:rsid w:val="00A845A7"/>
    <w:rsid w:val="00A845D5"/>
    <w:rsid w:val="00A8487C"/>
    <w:rsid w:val="00A84956"/>
    <w:rsid w:val="00A84A8A"/>
    <w:rsid w:val="00A84B36"/>
    <w:rsid w:val="00A84BB7"/>
    <w:rsid w:val="00A84DE4"/>
    <w:rsid w:val="00A84EF0"/>
    <w:rsid w:val="00A84F3C"/>
    <w:rsid w:val="00A8505A"/>
    <w:rsid w:val="00A85199"/>
    <w:rsid w:val="00A851E6"/>
    <w:rsid w:val="00A8543C"/>
    <w:rsid w:val="00A85687"/>
    <w:rsid w:val="00A856AD"/>
    <w:rsid w:val="00A857F1"/>
    <w:rsid w:val="00A85896"/>
    <w:rsid w:val="00A85B23"/>
    <w:rsid w:val="00A85D13"/>
    <w:rsid w:val="00A85DD1"/>
    <w:rsid w:val="00A85EFD"/>
    <w:rsid w:val="00A86382"/>
    <w:rsid w:val="00A863C0"/>
    <w:rsid w:val="00A8678B"/>
    <w:rsid w:val="00A8697C"/>
    <w:rsid w:val="00A86B07"/>
    <w:rsid w:val="00A86B7F"/>
    <w:rsid w:val="00A86C22"/>
    <w:rsid w:val="00A86E13"/>
    <w:rsid w:val="00A86FC7"/>
    <w:rsid w:val="00A87180"/>
    <w:rsid w:val="00A87441"/>
    <w:rsid w:val="00A87471"/>
    <w:rsid w:val="00A8757F"/>
    <w:rsid w:val="00A87835"/>
    <w:rsid w:val="00A8783F"/>
    <w:rsid w:val="00A87976"/>
    <w:rsid w:val="00A90835"/>
    <w:rsid w:val="00A90864"/>
    <w:rsid w:val="00A90A36"/>
    <w:rsid w:val="00A90AA8"/>
    <w:rsid w:val="00A90B04"/>
    <w:rsid w:val="00A90B3A"/>
    <w:rsid w:val="00A90BE8"/>
    <w:rsid w:val="00A913C9"/>
    <w:rsid w:val="00A914E8"/>
    <w:rsid w:val="00A9175C"/>
    <w:rsid w:val="00A91793"/>
    <w:rsid w:val="00A91A17"/>
    <w:rsid w:val="00A91BD5"/>
    <w:rsid w:val="00A91BEC"/>
    <w:rsid w:val="00A91C0F"/>
    <w:rsid w:val="00A91CE0"/>
    <w:rsid w:val="00A91D74"/>
    <w:rsid w:val="00A91E45"/>
    <w:rsid w:val="00A91E87"/>
    <w:rsid w:val="00A92125"/>
    <w:rsid w:val="00A9223B"/>
    <w:rsid w:val="00A9269D"/>
    <w:rsid w:val="00A92728"/>
    <w:rsid w:val="00A9289F"/>
    <w:rsid w:val="00A92D6E"/>
    <w:rsid w:val="00A92F40"/>
    <w:rsid w:val="00A931E5"/>
    <w:rsid w:val="00A931E9"/>
    <w:rsid w:val="00A9399B"/>
    <w:rsid w:val="00A93F7C"/>
    <w:rsid w:val="00A94313"/>
    <w:rsid w:val="00A9484D"/>
    <w:rsid w:val="00A948B5"/>
    <w:rsid w:val="00A94BB4"/>
    <w:rsid w:val="00A94BF4"/>
    <w:rsid w:val="00A94C12"/>
    <w:rsid w:val="00A94C44"/>
    <w:rsid w:val="00A94D6E"/>
    <w:rsid w:val="00A94E65"/>
    <w:rsid w:val="00A94EA0"/>
    <w:rsid w:val="00A94EA1"/>
    <w:rsid w:val="00A94EA2"/>
    <w:rsid w:val="00A94F14"/>
    <w:rsid w:val="00A95111"/>
    <w:rsid w:val="00A952A8"/>
    <w:rsid w:val="00A95526"/>
    <w:rsid w:val="00A95777"/>
    <w:rsid w:val="00A9588F"/>
    <w:rsid w:val="00A95A59"/>
    <w:rsid w:val="00A95B36"/>
    <w:rsid w:val="00A960D7"/>
    <w:rsid w:val="00A962C1"/>
    <w:rsid w:val="00A963C7"/>
    <w:rsid w:val="00A96426"/>
    <w:rsid w:val="00A964C7"/>
    <w:rsid w:val="00A96CB6"/>
    <w:rsid w:val="00A96F3A"/>
    <w:rsid w:val="00A96F82"/>
    <w:rsid w:val="00A96FA9"/>
    <w:rsid w:val="00A9704A"/>
    <w:rsid w:val="00A970C9"/>
    <w:rsid w:val="00A970EF"/>
    <w:rsid w:val="00A970F1"/>
    <w:rsid w:val="00A97190"/>
    <w:rsid w:val="00A971F5"/>
    <w:rsid w:val="00A97216"/>
    <w:rsid w:val="00A97372"/>
    <w:rsid w:val="00A97413"/>
    <w:rsid w:val="00A975B7"/>
    <w:rsid w:val="00A9783A"/>
    <w:rsid w:val="00A97A05"/>
    <w:rsid w:val="00A97BDB"/>
    <w:rsid w:val="00A97D20"/>
    <w:rsid w:val="00A97E98"/>
    <w:rsid w:val="00A97EEB"/>
    <w:rsid w:val="00A97FA2"/>
    <w:rsid w:val="00AA0323"/>
    <w:rsid w:val="00AA0333"/>
    <w:rsid w:val="00AA0336"/>
    <w:rsid w:val="00AA0659"/>
    <w:rsid w:val="00AA06F2"/>
    <w:rsid w:val="00AA0755"/>
    <w:rsid w:val="00AA0799"/>
    <w:rsid w:val="00AA09CA"/>
    <w:rsid w:val="00AA09FD"/>
    <w:rsid w:val="00AA0B04"/>
    <w:rsid w:val="00AA0B5F"/>
    <w:rsid w:val="00AA0CAF"/>
    <w:rsid w:val="00AA0DE5"/>
    <w:rsid w:val="00AA0EC1"/>
    <w:rsid w:val="00AA0F16"/>
    <w:rsid w:val="00AA0F34"/>
    <w:rsid w:val="00AA0F5B"/>
    <w:rsid w:val="00AA1127"/>
    <w:rsid w:val="00AA117C"/>
    <w:rsid w:val="00AA146E"/>
    <w:rsid w:val="00AA1A08"/>
    <w:rsid w:val="00AA1AE4"/>
    <w:rsid w:val="00AA1B9C"/>
    <w:rsid w:val="00AA1C83"/>
    <w:rsid w:val="00AA1CAC"/>
    <w:rsid w:val="00AA1CC6"/>
    <w:rsid w:val="00AA1F82"/>
    <w:rsid w:val="00AA23CF"/>
    <w:rsid w:val="00AA27BC"/>
    <w:rsid w:val="00AA28C4"/>
    <w:rsid w:val="00AA2D8A"/>
    <w:rsid w:val="00AA2ED3"/>
    <w:rsid w:val="00AA3245"/>
    <w:rsid w:val="00AA32C5"/>
    <w:rsid w:val="00AA3351"/>
    <w:rsid w:val="00AA3845"/>
    <w:rsid w:val="00AA3973"/>
    <w:rsid w:val="00AA3978"/>
    <w:rsid w:val="00AA398F"/>
    <w:rsid w:val="00AA3AE7"/>
    <w:rsid w:val="00AA3B3E"/>
    <w:rsid w:val="00AA3B4A"/>
    <w:rsid w:val="00AA3D44"/>
    <w:rsid w:val="00AA3D6D"/>
    <w:rsid w:val="00AA3DCC"/>
    <w:rsid w:val="00AA41D8"/>
    <w:rsid w:val="00AA4345"/>
    <w:rsid w:val="00AA451C"/>
    <w:rsid w:val="00AA46DB"/>
    <w:rsid w:val="00AA47E3"/>
    <w:rsid w:val="00AA4842"/>
    <w:rsid w:val="00AA48FC"/>
    <w:rsid w:val="00AA4CB3"/>
    <w:rsid w:val="00AA4F0D"/>
    <w:rsid w:val="00AA50F5"/>
    <w:rsid w:val="00AA517E"/>
    <w:rsid w:val="00AA51A4"/>
    <w:rsid w:val="00AA522A"/>
    <w:rsid w:val="00AA523B"/>
    <w:rsid w:val="00AA52A9"/>
    <w:rsid w:val="00AA532E"/>
    <w:rsid w:val="00AA548B"/>
    <w:rsid w:val="00AA548E"/>
    <w:rsid w:val="00AA5637"/>
    <w:rsid w:val="00AA56B9"/>
    <w:rsid w:val="00AA570C"/>
    <w:rsid w:val="00AA5871"/>
    <w:rsid w:val="00AA58A6"/>
    <w:rsid w:val="00AA5923"/>
    <w:rsid w:val="00AA5978"/>
    <w:rsid w:val="00AA5A78"/>
    <w:rsid w:val="00AA5AC8"/>
    <w:rsid w:val="00AA5B30"/>
    <w:rsid w:val="00AA5E4D"/>
    <w:rsid w:val="00AA5F6C"/>
    <w:rsid w:val="00AA6002"/>
    <w:rsid w:val="00AA61FD"/>
    <w:rsid w:val="00AA6458"/>
    <w:rsid w:val="00AA66C2"/>
    <w:rsid w:val="00AA69A4"/>
    <w:rsid w:val="00AA69CD"/>
    <w:rsid w:val="00AA6A23"/>
    <w:rsid w:val="00AA6B3D"/>
    <w:rsid w:val="00AA6DD3"/>
    <w:rsid w:val="00AA7063"/>
    <w:rsid w:val="00AA71E4"/>
    <w:rsid w:val="00AA7574"/>
    <w:rsid w:val="00AA759D"/>
    <w:rsid w:val="00AA75EE"/>
    <w:rsid w:val="00AA762B"/>
    <w:rsid w:val="00AA7724"/>
    <w:rsid w:val="00AA78AF"/>
    <w:rsid w:val="00AA7946"/>
    <w:rsid w:val="00AA7AF6"/>
    <w:rsid w:val="00AA7BE5"/>
    <w:rsid w:val="00AB0239"/>
    <w:rsid w:val="00AB0496"/>
    <w:rsid w:val="00AB05C6"/>
    <w:rsid w:val="00AB0671"/>
    <w:rsid w:val="00AB0953"/>
    <w:rsid w:val="00AB0965"/>
    <w:rsid w:val="00AB0A45"/>
    <w:rsid w:val="00AB0AC5"/>
    <w:rsid w:val="00AB0BCA"/>
    <w:rsid w:val="00AB0D6C"/>
    <w:rsid w:val="00AB0DE4"/>
    <w:rsid w:val="00AB12A9"/>
    <w:rsid w:val="00AB18F3"/>
    <w:rsid w:val="00AB1C98"/>
    <w:rsid w:val="00AB1CA3"/>
    <w:rsid w:val="00AB2148"/>
    <w:rsid w:val="00AB21FE"/>
    <w:rsid w:val="00AB227C"/>
    <w:rsid w:val="00AB2438"/>
    <w:rsid w:val="00AB257C"/>
    <w:rsid w:val="00AB2625"/>
    <w:rsid w:val="00AB293B"/>
    <w:rsid w:val="00AB29A0"/>
    <w:rsid w:val="00AB2A7F"/>
    <w:rsid w:val="00AB2D4A"/>
    <w:rsid w:val="00AB2D8D"/>
    <w:rsid w:val="00AB2DDB"/>
    <w:rsid w:val="00AB2E03"/>
    <w:rsid w:val="00AB32C1"/>
    <w:rsid w:val="00AB3541"/>
    <w:rsid w:val="00AB3C3C"/>
    <w:rsid w:val="00AB3C66"/>
    <w:rsid w:val="00AB3D27"/>
    <w:rsid w:val="00AB3D56"/>
    <w:rsid w:val="00AB3DEE"/>
    <w:rsid w:val="00AB3E2A"/>
    <w:rsid w:val="00AB3E6F"/>
    <w:rsid w:val="00AB4074"/>
    <w:rsid w:val="00AB4407"/>
    <w:rsid w:val="00AB46CF"/>
    <w:rsid w:val="00AB4994"/>
    <w:rsid w:val="00AB49A8"/>
    <w:rsid w:val="00AB4D49"/>
    <w:rsid w:val="00AB4D63"/>
    <w:rsid w:val="00AB4DAA"/>
    <w:rsid w:val="00AB4F1E"/>
    <w:rsid w:val="00AB4F38"/>
    <w:rsid w:val="00AB509E"/>
    <w:rsid w:val="00AB55ED"/>
    <w:rsid w:val="00AB577D"/>
    <w:rsid w:val="00AB5838"/>
    <w:rsid w:val="00AB58F9"/>
    <w:rsid w:val="00AB591B"/>
    <w:rsid w:val="00AB5AA2"/>
    <w:rsid w:val="00AB60BD"/>
    <w:rsid w:val="00AB650A"/>
    <w:rsid w:val="00AB67E7"/>
    <w:rsid w:val="00AB693F"/>
    <w:rsid w:val="00AB6C35"/>
    <w:rsid w:val="00AB70AE"/>
    <w:rsid w:val="00AB71AA"/>
    <w:rsid w:val="00AB71D8"/>
    <w:rsid w:val="00AB7260"/>
    <w:rsid w:val="00AB72E0"/>
    <w:rsid w:val="00AB749D"/>
    <w:rsid w:val="00AB74F5"/>
    <w:rsid w:val="00AB7577"/>
    <w:rsid w:val="00AB7872"/>
    <w:rsid w:val="00AB7D9D"/>
    <w:rsid w:val="00AB7E08"/>
    <w:rsid w:val="00AB7E3D"/>
    <w:rsid w:val="00AB7FD2"/>
    <w:rsid w:val="00ABEE51"/>
    <w:rsid w:val="00AC005F"/>
    <w:rsid w:val="00AC00FB"/>
    <w:rsid w:val="00AC017D"/>
    <w:rsid w:val="00AC0295"/>
    <w:rsid w:val="00AC02CC"/>
    <w:rsid w:val="00AC03FF"/>
    <w:rsid w:val="00AC04AC"/>
    <w:rsid w:val="00AC052D"/>
    <w:rsid w:val="00AC062E"/>
    <w:rsid w:val="00AC06E2"/>
    <w:rsid w:val="00AC07AF"/>
    <w:rsid w:val="00AC091C"/>
    <w:rsid w:val="00AC092A"/>
    <w:rsid w:val="00AC0A06"/>
    <w:rsid w:val="00AC0A28"/>
    <w:rsid w:val="00AC0A79"/>
    <w:rsid w:val="00AC0F71"/>
    <w:rsid w:val="00AC0F83"/>
    <w:rsid w:val="00AC10D9"/>
    <w:rsid w:val="00AC1213"/>
    <w:rsid w:val="00AC1233"/>
    <w:rsid w:val="00AC135D"/>
    <w:rsid w:val="00AC15C8"/>
    <w:rsid w:val="00AC1650"/>
    <w:rsid w:val="00AC189E"/>
    <w:rsid w:val="00AC19A6"/>
    <w:rsid w:val="00AC1A7B"/>
    <w:rsid w:val="00AC1AF1"/>
    <w:rsid w:val="00AC1B8F"/>
    <w:rsid w:val="00AC1CF0"/>
    <w:rsid w:val="00AC1D55"/>
    <w:rsid w:val="00AC1E50"/>
    <w:rsid w:val="00AC1EAE"/>
    <w:rsid w:val="00AC1F3C"/>
    <w:rsid w:val="00AC20EA"/>
    <w:rsid w:val="00AC214E"/>
    <w:rsid w:val="00AC234F"/>
    <w:rsid w:val="00AC2360"/>
    <w:rsid w:val="00AC240A"/>
    <w:rsid w:val="00AC2444"/>
    <w:rsid w:val="00AC2884"/>
    <w:rsid w:val="00AC29F0"/>
    <w:rsid w:val="00AC2BBD"/>
    <w:rsid w:val="00AC30D8"/>
    <w:rsid w:val="00AC3317"/>
    <w:rsid w:val="00AC333D"/>
    <w:rsid w:val="00AC34DC"/>
    <w:rsid w:val="00AC35E1"/>
    <w:rsid w:val="00AC35F6"/>
    <w:rsid w:val="00AC3A18"/>
    <w:rsid w:val="00AC3C02"/>
    <w:rsid w:val="00AC3C14"/>
    <w:rsid w:val="00AC3E20"/>
    <w:rsid w:val="00AC3E41"/>
    <w:rsid w:val="00AC3E70"/>
    <w:rsid w:val="00AC3EE0"/>
    <w:rsid w:val="00AC3EE6"/>
    <w:rsid w:val="00AC3FC1"/>
    <w:rsid w:val="00AC42F1"/>
    <w:rsid w:val="00AC4530"/>
    <w:rsid w:val="00AC4585"/>
    <w:rsid w:val="00AC47F4"/>
    <w:rsid w:val="00AC486D"/>
    <w:rsid w:val="00AC49B7"/>
    <w:rsid w:val="00AC4C85"/>
    <w:rsid w:val="00AC4D49"/>
    <w:rsid w:val="00AC4E18"/>
    <w:rsid w:val="00AC4E72"/>
    <w:rsid w:val="00AC4F39"/>
    <w:rsid w:val="00AC5003"/>
    <w:rsid w:val="00AC519D"/>
    <w:rsid w:val="00AC52DA"/>
    <w:rsid w:val="00AC536C"/>
    <w:rsid w:val="00AC538D"/>
    <w:rsid w:val="00AC5415"/>
    <w:rsid w:val="00AC5524"/>
    <w:rsid w:val="00AC58FB"/>
    <w:rsid w:val="00AC592F"/>
    <w:rsid w:val="00AC5B97"/>
    <w:rsid w:val="00AC5D1D"/>
    <w:rsid w:val="00AC5E2E"/>
    <w:rsid w:val="00AC5F8A"/>
    <w:rsid w:val="00AC6088"/>
    <w:rsid w:val="00AC61FB"/>
    <w:rsid w:val="00AC648A"/>
    <w:rsid w:val="00AC64F3"/>
    <w:rsid w:val="00AC6730"/>
    <w:rsid w:val="00AC675F"/>
    <w:rsid w:val="00AC6791"/>
    <w:rsid w:val="00AC6CF6"/>
    <w:rsid w:val="00AC7135"/>
    <w:rsid w:val="00AC715A"/>
    <w:rsid w:val="00AC7190"/>
    <w:rsid w:val="00AC71CB"/>
    <w:rsid w:val="00AC7258"/>
    <w:rsid w:val="00AC7279"/>
    <w:rsid w:val="00AC74C6"/>
    <w:rsid w:val="00AC7525"/>
    <w:rsid w:val="00AC75D7"/>
    <w:rsid w:val="00AC7727"/>
    <w:rsid w:val="00AC780F"/>
    <w:rsid w:val="00AC7D70"/>
    <w:rsid w:val="00AC7E78"/>
    <w:rsid w:val="00AD0255"/>
    <w:rsid w:val="00AD02A4"/>
    <w:rsid w:val="00AD0421"/>
    <w:rsid w:val="00AD06B5"/>
    <w:rsid w:val="00AD0811"/>
    <w:rsid w:val="00AD0AE9"/>
    <w:rsid w:val="00AD0B8E"/>
    <w:rsid w:val="00AD0CE9"/>
    <w:rsid w:val="00AD0D20"/>
    <w:rsid w:val="00AD0E92"/>
    <w:rsid w:val="00AD0EF1"/>
    <w:rsid w:val="00AD0F81"/>
    <w:rsid w:val="00AD111A"/>
    <w:rsid w:val="00AD1325"/>
    <w:rsid w:val="00AD1330"/>
    <w:rsid w:val="00AD135A"/>
    <w:rsid w:val="00AD1703"/>
    <w:rsid w:val="00AD19C0"/>
    <w:rsid w:val="00AD19D8"/>
    <w:rsid w:val="00AD1D2E"/>
    <w:rsid w:val="00AD1DEF"/>
    <w:rsid w:val="00AD205F"/>
    <w:rsid w:val="00AD20A6"/>
    <w:rsid w:val="00AD2114"/>
    <w:rsid w:val="00AD26DD"/>
    <w:rsid w:val="00AD278E"/>
    <w:rsid w:val="00AD2809"/>
    <w:rsid w:val="00AD2C23"/>
    <w:rsid w:val="00AD2DCF"/>
    <w:rsid w:val="00AD2DD3"/>
    <w:rsid w:val="00AD2E5F"/>
    <w:rsid w:val="00AD2F64"/>
    <w:rsid w:val="00AD300C"/>
    <w:rsid w:val="00AD3108"/>
    <w:rsid w:val="00AD3381"/>
    <w:rsid w:val="00AD3437"/>
    <w:rsid w:val="00AD34C1"/>
    <w:rsid w:val="00AD356E"/>
    <w:rsid w:val="00AD35B4"/>
    <w:rsid w:val="00AD366C"/>
    <w:rsid w:val="00AD3718"/>
    <w:rsid w:val="00AD389A"/>
    <w:rsid w:val="00AD394C"/>
    <w:rsid w:val="00AD3ABF"/>
    <w:rsid w:val="00AD3FC9"/>
    <w:rsid w:val="00AD416A"/>
    <w:rsid w:val="00AD4181"/>
    <w:rsid w:val="00AD41A7"/>
    <w:rsid w:val="00AD42FC"/>
    <w:rsid w:val="00AD44F2"/>
    <w:rsid w:val="00AD45A1"/>
    <w:rsid w:val="00AD464C"/>
    <w:rsid w:val="00AD4651"/>
    <w:rsid w:val="00AD4749"/>
    <w:rsid w:val="00AD4756"/>
    <w:rsid w:val="00AD483C"/>
    <w:rsid w:val="00AD48C8"/>
    <w:rsid w:val="00AD4AA0"/>
    <w:rsid w:val="00AD4D4E"/>
    <w:rsid w:val="00AD4DFF"/>
    <w:rsid w:val="00AD4EA0"/>
    <w:rsid w:val="00AD5129"/>
    <w:rsid w:val="00AD5471"/>
    <w:rsid w:val="00AD54BC"/>
    <w:rsid w:val="00AD55DF"/>
    <w:rsid w:val="00AD5699"/>
    <w:rsid w:val="00AD5849"/>
    <w:rsid w:val="00AD588D"/>
    <w:rsid w:val="00AD58DA"/>
    <w:rsid w:val="00AD5946"/>
    <w:rsid w:val="00AD5AC3"/>
    <w:rsid w:val="00AD5AD6"/>
    <w:rsid w:val="00AD5B99"/>
    <w:rsid w:val="00AD5D98"/>
    <w:rsid w:val="00AD5DF6"/>
    <w:rsid w:val="00AD5EF7"/>
    <w:rsid w:val="00AD62D9"/>
    <w:rsid w:val="00AD63F9"/>
    <w:rsid w:val="00AD65ED"/>
    <w:rsid w:val="00AD66FC"/>
    <w:rsid w:val="00AD671B"/>
    <w:rsid w:val="00AD6769"/>
    <w:rsid w:val="00AD6B1B"/>
    <w:rsid w:val="00AD6C0F"/>
    <w:rsid w:val="00AD6E17"/>
    <w:rsid w:val="00AD71BE"/>
    <w:rsid w:val="00AD7235"/>
    <w:rsid w:val="00AD75CB"/>
    <w:rsid w:val="00AD760C"/>
    <w:rsid w:val="00AD79A4"/>
    <w:rsid w:val="00AD7A18"/>
    <w:rsid w:val="00AD7C0B"/>
    <w:rsid w:val="00AD7CBD"/>
    <w:rsid w:val="00AD7ED3"/>
    <w:rsid w:val="00AD7EE3"/>
    <w:rsid w:val="00AE012A"/>
    <w:rsid w:val="00AE01BD"/>
    <w:rsid w:val="00AE0593"/>
    <w:rsid w:val="00AE06A8"/>
    <w:rsid w:val="00AE0716"/>
    <w:rsid w:val="00AE0734"/>
    <w:rsid w:val="00AE0968"/>
    <w:rsid w:val="00AE097F"/>
    <w:rsid w:val="00AE09BD"/>
    <w:rsid w:val="00AE0B3E"/>
    <w:rsid w:val="00AE0F08"/>
    <w:rsid w:val="00AE0F29"/>
    <w:rsid w:val="00AE1064"/>
    <w:rsid w:val="00AE1156"/>
    <w:rsid w:val="00AE11B8"/>
    <w:rsid w:val="00AE12B3"/>
    <w:rsid w:val="00AE13A8"/>
    <w:rsid w:val="00AE13BA"/>
    <w:rsid w:val="00AE147F"/>
    <w:rsid w:val="00AE16C0"/>
    <w:rsid w:val="00AE16DB"/>
    <w:rsid w:val="00AE1713"/>
    <w:rsid w:val="00AE1812"/>
    <w:rsid w:val="00AE1A1D"/>
    <w:rsid w:val="00AE1DDD"/>
    <w:rsid w:val="00AE21A3"/>
    <w:rsid w:val="00AE223D"/>
    <w:rsid w:val="00AE2263"/>
    <w:rsid w:val="00AE241D"/>
    <w:rsid w:val="00AE24B4"/>
    <w:rsid w:val="00AE2513"/>
    <w:rsid w:val="00AE25BB"/>
    <w:rsid w:val="00AE2713"/>
    <w:rsid w:val="00AE2A05"/>
    <w:rsid w:val="00AE2A94"/>
    <w:rsid w:val="00AE2B63"/>
    <w:rsid w:val="00AE2DD0"/>
    <w:rsid w:val="00AE32EA"/>
    <w:rsid w:val="00AE32FB"/>
    <w:rsid w:val="00AE34DD"/>
    <w:rsid w:val="00AE350E"/>
    <w:rsid w:val="00AE3711"/>
    <w:rsid w:val="00AE3870"/>
    <w:rsid w:val="00AE397C"/>
    <w:rsid w:val="00AE3D0D"/>
    <w:rsid w:val="00AE3D20"/>
    <w:rsid w:val="00AE416A"/>
    <w:rsid w:val="00AE43DB"/>
    <w:rsid w:val="00AE44E7"/>
    <w:rsid w:val="00AE473B"/>
    <w:rsid w:val="00AE48D6"/>
    <w:rsid w:val="00AE49A9"/>
    <w:rsid w:val="00AE4A75"/>
    <w:rsid w:val="00AE4FA9"/>
    <w:rsid w:val="00AE4FC3"/>
    <w:rsid w:val="00AE5017"/>
    <w:rsid w:val="00AE547D"/>
    <w:rsid w:val="00AE5953"/>
    <w:rsid w:val="00AE5B75"/>
    <w:rsid w:val="00AE5D29"/>
    <w:rsid w:val="00AE5E64"/>
    <w:rsid w:val="00AE60F5"/>
    <w:rsid w:val="00AE61B4"/>
    <w:rsid w:val="00AE61C1"/>
    <w:rsid w:val="00AE62F6"/>
    <w:rsid w:val="00AE663B"/>
    <w:rsid w:val="00AE6842"/>
    <w:rsid w:val="00AE6844"/>
    <w:rsid w:val="00AE686B"/>
    <w:rsid w:val="00AE6963"/>
    <w:rsid w:val="00AE6A20"/>
    <w:rsid w:val="00AE6A2E"/>
    <w:rsid w:val="00AE6AEE"/>
    <w:rsid w:val="00AE6DEE"/>
    <w:rsid w:val="00AE7121"/>
    <w:rsid w:val="00AE7160"/>
    <w:rsid w:val="00AE757E"/>
    <w:rsid w:val="00AE773C"/>
    <w:rsid w:val="00AE77E7"/>
    <w:rsid w:val="00AE786B"/>
    <w:rsid w:val="00AE7995"/>
    <w:rsid w:val="00AE7A0C"/>
    <w:rsid w:val="00AE7BB2"/>
    <w:rsid w:val="00AE7CCB"/>
    <w:rsid w:val="00AE7DBF"/>
    <w:rsid w:val="00AF0249"/>
    <w:rsid w:val="00AF0298"/>
    <w:rsid w:val="00AF0341"/>
    <w:rsid w:val="00AF08A6"/>
    <w:rsid w:val="00AF0AB5"/>
    <w:rsid w:val="00AF0D5E"/>
    <w:rsid w:val="00AF0EEF"/>
    <w:rsid w:val="00AF118A"/>
    <w:rsid w:val="00AF120C"/>
    <w:rsid w:val="00AF129B"/>
    <w:rsid w:val="00AF12EE"/>
    <w:rsid w:val="00AF1532"/>
    <w:rsid w:val="00AF16BE"/>
    <w:rsid w:val="00AF1849"/>
    <w:rsid w:val="00AF192A"/>
    <w:rsid w:val="00AF19A5"/>
    <w:rsid w:val="00AF1C0A"/>
    <w:rsid w:val="00AF1CD0"/>
    <w:rsid w:val="00AF1FF8"/>
    <w:rsid w:val="00AF203C"/>
    <w:rsid w:val="00AF20E1"/>
    <w:rsid w:val="00AF21D4"/>
    <w:rsid w:val="00AF2211"/>
    <w:rsid w:val="00AF22B5"/>
    <w:rsid w:val="00AF25B2"/>
    <w:rsid w:val="00AF2677"/>
    <w:rsid w:val="00AF274A"/>
    <w:rsid w:val="00AF27D4"/>
    <w:rsid w:val="00AF29E3"/>
    <w:rsid w:val="00AF2C92"/>
    <w:rsid w:val="00AF2CE7"/>
    <w:rsid w:val="00AF2CEA"/>
    <w:rsid w:val="00AF2EEE"/>
    <w:rsid w:val="00AF3059"/>
    <w:rsid w:val="00AF30B7"/>
    <w:rsid w:val="00AF30BC"/>
    <w:rsid w:val="00AF30D1"/>
    <w:rsid w:val="00AF3498"/>
    <w:rsid w:val="00AF34EE"/>
    <w:rsid w:val="00AF3840"/>
    <w:rsid w:val="00AF3F31"/>
    <w:rsid w:val="00AF40EE"/>
    <w:rsid w:val="00AF4200"/>
    <w:rsid w:val="00AF43EF"/>
    <w:rsid w:val="00AF4467"/>
    <w:rsid w:val="00AF471E"/>
    <w:rsid w:val="00AF4787"/>
    <w:rsid w:val="00AF482F"/>
    <w:rsid w:val="00AF4939"/>
    <w:rsid w:val="00AF4AE0"/>
    <w:rsid w:val="00AF4C35"/>
    <w:rsid w:val="00AF4C71"/>
    <w:rsid w:val="00AF4C8A"/>
    <w:rsid w:val="00AF4F49"/>
    <w:rsid w:val="00AF5322"/>
    <w:rsid w:val="00AF5380"/>
    <w:rsid w:val="00AF55D8"/>
    <w:rsid w:val="00AF55E6"/>
    <w:rsid w:val="00AF573D"/>
    <w:rsid w:val="00AF57B3"/>
    <w:rsid w:val="00AF5893"/>
    <w:rsid w:val="00AF59D3"/>
    <w:rsid w:val="00AF5A8C"/>
    <w:rsid w:val="00AF5A91"/>
    <w:rsid w:val="00AF5D2A"/>
    <w:rsid w:val="00AF5EE9"/>
    <w:rsid w:val="00AF6014"/>
    <w:rsid w:val="00AF61D0"/>
    <w:rsid w:val="00AF62DE"/>
    <w:rsid w:val="00AF6354"/>
    <w:rsid w:val="00AF654D"/>
    <w:rsid w:val="00AF66EC"/>
    <w:rsid w:val="00AF674B"/>
    <w:rsid w:val="00AF6C24"/>
    <w:rsid w:val="00AF6E16"/>
    <w:rsid w:val="00AF6FD5"/>
    <w:rsid w:val="00AF701C"/>
    <w:rsid w:val="00AF70AE"/>
    <w:rsid w:val="00AF747B"/>
    <w:rsid w:val="00AF7548"/>
    <w:rsid w:val="00AF7863"/>
    <w:rsid w:val="00AF79B2"/>
    <w:rsid w:val="00AF79FC"/>
    <w:rsid w:val="00AF7DB1"/>
    <w:rsid w:val="00AF7EA2"/>
    <w:rsid w:val="00B003CA"/>
    <w:rsid w:val="00B00476"/>
    <w:rsid w:val="00B00630"/>
    <w:rsid w:val="00B00667"/>
    <w:rsid w:val="00B00930"/>
    <w:rsid w:val="00B00BCB"/>
    <w:rsid w:val="00B00C01"/>
    <w:rsid w:val="00B00CC8"/>
    <w:rsid w:val="00B00CD4"/>
    <w:rsid w:val="00B00E55"/>
    <w:rsid w:val="00B00EE6"/>
    <w:rsid w:val="00B01081"/>
    <w:rsid w:val="00B01263"/>
    <w:rsid w:val="00B01397"/>
    <w:rsid w:val="00B0158E"/>
    <w:rsid w:val="00B0165B"/>
    <w:rsid w:val="00B01752"/>
    <w:rsid w:val="00B0176B"/>
    <w:rsid w:val="00B01C08"/>
    <w:rsid w:val="00B01D19"/>
    <w:rsid w:val="00B01F7D"/>
    <w:rsid w:val="00B01FA3"/>
    <w:rsid w:val="00B0225F"/>
    <w:rsid w:val="00B022F7"/>
    <w:rsid w:val="00B023FA"/>
    <w:rsid w:val="00B0251E"/>
    <w:rsid w:val="00B027E4"/>
    <w:rsid w:val="00B02918"/>
    <w:rsid w:val="00B029B9"/>
    <w:rsid w:val="00B02A3F"/>
    <w:rsid w:val="00B02A63"/>
    <w:rsid w:val="00B02C19"/>
    <w:rsid w:val="00B02E14"/>
    <w:rsid w:val="00B02E74"/>
    <w:rsid w:val="00B02E86"/>
    <w:rsid w:val="00B02F5C"/>
    <w:rsid w:val="00B02FAC"/>
    <w:rsid w:val="00B030BE"/>
    <w:rsid w:val="00B03187"/>
    <w:rsid w:val="00B03538"/>
    <w:rsid w:val="00B03825"/>
    <w:rsid w:val="00B03997"/>
    <w:rsid w:val="00B039CE"/>
    <w:rsid w:val="00B03D42"/>
    <w:rsid w:val="00B0418F"/>
    <w:rsid w:val="00B04201"/>
    <w:rsid w:val="00B04303"/>
    <w:rsid w:val="00B04940"/>
    <w:rsid w:val="00B04BDB"/>
    <w:rsid w:val="00B04C41"/>
    <w:rsid w:val="00B04C8C"/>
    <w:rsid w:val="00B04CB1"/>
    <w:rsid w:val="00B04D7D"/>
    <w:rsid w:val="00B0516B"/>
    <w:rsid w:val="00B05174"/>
    <w:rsid w:val="00B051B3"/>
    <w:rsid w:val="00B0538A"/>
    <w:rsid w:val="00B05401"/>
    <w:rsid w:val="00B05584"/>
    <w:rsid w:val="00B059C2"/>
    <w:rsid w:val="00B05F1A"/>
    <w:rsid w:val="00B05F6D"/>
    <w:rsid w:val="00B060BA"/>
    <w:rsid w:val="00B0614E"/>
    <w:rsid w:val="00B061D5"/>
    <w:rsid w:val="00B06422"/>
    <w:rsid w:val="00B065ED"/>
    <w:rsid w:val="00B069F3"/>
    <w:rsid w:val="00B06A26"/>
    <w:rsid w:val="00B06A72"/>
    <w:rsid w:val="00B06B10"/>
    <w:rsid w:val="00B06B9C"/>
    <w:rsid w:val="00B06E14"/>
    <w:rsid w:val="00B06E33"/>
    <w:rsid w:val="00B06E92"/>
    <w:rsid w:val="00B06EC8"/>
    <w:rsid w:val="00B07138"/>
    <w:rsid w:val="00B071A4"/>
    <w:rsid w:val="00B07249"/>
    <w:rsid w:val="00B074A6"/>
    <w:rsid w:val="00B0751D"/>
    <w:rsid w:val="00B07581"/>
    <w:rsid w:val="00B0769E"/>
    <w:rsid w:val="00B077BF"/>
    <w:rsid w:val="00B07966"/>
    <w:rsid w:val="00B07A96"/>
    <w:rsid w:val="00B07BFE"/>
    <w:rsid w:val="00B07CD5"/>
    <w:rsid w:val="00B07D6A"/>
    <w:rsid w:val="00B1013E"/>
    <w:rsid w:val="00B101BF"/>
    <w:rsid w:val="00B1039A"/>
    <w:rsid w:val="00B103EF"/>
    <w:rsid w:val="00B104ED"/>
    <w:rsid w:val="00B10528"/>
    <w:rsid w:val="00B105F6"/>
    <w:rsid w:val="00B10A67"/>
    <w:rsid w:val="00B10A98"/>
    <w:rsid w:val="00B10C39"/>
    <w:rsid w:val="00B10E32"/>
    <w:rsid w:val="00B10E46"/>
    <w:rsid w:val="00B10F4F"/>
    <w:rsid w:val="00B10F94"/>
    <w:rsid w:val="00B10FEA"/>
    <w:rsid w:val="00B1109A"/>
    <w:rsid w:val="00B110E9"/>
    <w:rsid w:val="00B111DD"/>
    <w:rsid w:val="00B11351"/>
    <w:rsid w:val="00B113FF"/>
    <w:rsid w:val="00B1155D"/>
    <w:rsid w:val="00B11782"/>
    <w:rsid w:val="00B11798"/>
    <w:rsid w:val="00B11861"/>
    <w:rsid w:val="00B11B78"/>
    <w:rsid w:val="00B11D11"/>
    <w:rsid w:val="00B11D85"/>
    <w:rsid w:val="00B11E67"/>
    <w:rsid w:val="00B11FD7"/>
    <w:rsid w:val="00B1209B"/>
    <w:rsid w:val="00B12327"/>
    <w:rsid w:val="00B123E0"/>
    <w:rsid w:val="00B1263B"/>
    <w:rsid w:val="00B12672"/>
    <w:rsid w:val="00B1284C"/>
    <w:rsid w:val="00B12985"/>
    <w:rsid w:val="00B12A16"/>
    <w:rsid w:val="00B12BA9"/>
    <w:rsid w:val="00B12C01"/>
    <w:rsid w:val="00B1317F"/>
    <w:rsid w:val="00B13520"/>
    <w:rsid w:val="00B13548"/>
    <w:rsid w:val="00B135AC"/>
    <w:rsid w:val="00B135F6"/>
    <w:rsid w:val="00B137A6"/>
    <w:rsid w:val="00B1388A"/>
    <w:rsid w:val="00B13A33"/>
    <w:rsid w:val="00B13BF6"/>
    <w:rsid w:val="00B13FB2"/>
    <w:rsid w:val="00B14035"/>
    <w:rsid w:val="00B14302"/>
    <w:rsid w:val="00B144F1"/>
    <w:rsid w:val="00B1459A"/>
    <w:rsid w:val="00B14848"/>
    <w:rsid w:val="00B14861"/>
    <w:rsid w:val="00B14870"/>
    <w:rsid w:val="00B14888"/>
    <w:rsid w:val="00B14BBF"/>
    <w:rsid w:val="00B14C7B"/>
    <w:rsid w:val="00B14C85"/>
    <w:rsid w:val="00B14CB9"/>
    <w:rsid w:val="00B15020"/>
    <w:rsid w:val="00B15296"/>
    <w:rsid w:val="00B15358"/>
    <w:rsid w:val="00B155F6"/>
    <w:rsid w:val="00B157AF"/>
    <w:rsid w:val="00B1582E"/>
    <w:rsid w:val="00B15901"/>
    <w:rsid w:val="00B1594E"/>
    <w:rsid w:val="00B15CAD"/>
    <w:rsid w:val="00B15D9B"/>
    <w:rsid w:val="00B15E58"/>
    <w:rsid w:val="00B15EB3"/>
    <w:rsid w:val="00B1603E"/>
    <w:rsid w:val="00B16092"/>
    <w:rsid w:val="00B16218"/>
    <w:rsid w:val="00B1647D"/>
    <w:rsid w:val="00B16491"/>
    <w:rsid w:val="00B16600"/>
    <w:rsid w:val="00B16664"/>
    <w:rsid w:val="00B166FE"/>
    <w:rsid w:val="00B16909"/>
    <w:rsid w:val="00B16CD9"/>
    <w:rsid w:val="00B173D8"/>
    <w:rsid w:val="00B174FA"/>
    <w:rsid w:val="00B17579"/>
    <w:rsid w:val="00B1759D"/>
    <w:rsid w:val="00B17637"/>
    <w:rsid w:val="00B176FF"/>
    <w:rsid w:val="00B177A5"/>
    <w:rsid w:val="00B1799E"/>
    <w:rsid w:val="00B179A5"/>
    <w:rsid w:val="00B179EB"/>
    <w:rsid w:val="00B17A90"/>
    <w:rsid w:val="00B17AFD"/>
    <w:rsid w:val="00B17BE9"/>
    <w:rsid w:val="00B17ED8"/>
    <w:rsid w:val="00B17F65"/>
    <w:rsid w:val="00B17FA2"/>
    <w:rsid w:val="00B2018D"/>
    <w:rsid w:val="00B2038C"/>
    <w:rsid w:val="00B20439"/>
    <w:rsid w:val="00B2056D"/>
    <w:rsid w:val="00B206F2"/>
    <w:rsid w:val="00B2098F"/>
    <w:rsid w:val="00B20B80"/>
    <w:rsid w:val="00B20BB7"/>
    <w:rsid w:val="00B20BEF"/>
    <w:rsid w:val="00B210D4"/>
    <w:rsid w:val="00B2113B"/>
    <w:rsid w:val="00B2122C"/>
    <w:rsid w:val="00B21274"/>
    <w:rsid w:val="00B21515"/>
    <w:rsid w:val="00B21527"/>
    <w:rsid w:val="00B216D5"/>
    <w:rsid w:val="00B21869"/>
    <w:rsid w:val="00B21926"/>
    <w:rsid w:val="00B2194C"/>
    <w:rsid w:val="00B21A21"/>
    <w:rsid w:val="00B21DBD"/>
    <w:rsid w:val="00B21E75"/>
    <w:rsid w:val="00B2201D"/>
    <w:rsid w:val="00B222C6"/>
    <w:rsid w:val="00B2245E"/>
    <w:rsid w:val="00B22580"/>
    <w:rsid w:val="00B22673"/>
    <w:rsid w:val="00B22691"/>
    <w:rsid w:val="00B22864"/>
    <w:rsid w:val="00B22891"/>
    <w:rsid w:val="00B22AF3"/>
    <w:rsid w:val="00B22AFA"/>
    <w:rsid w:val="00B22B5C"/>
    <w:rsid w:val="00B22B84"/>
    <w:rsid w:val="00B22EAB"/>
    <w:rsid w:val="00B2308A"/>
    <w:rsid w:val="00B23309"/>
    <w:rsid w:val="00B23709"/>
    <w:rsid w:val="00B23E2B"/>
    <w:rsid w:val="00B23ECE"/>
    <w:rsid w:val="00B240F6"/>
    <w:rsid w:val="00B24255"/>
    <w:rsid w:val="00B24414"/>
    <w:rsid w:val="00B2441E"/>
    <w:rsid w:val="00B244BD"/>
    <w:rsid w:val="00B24628"/>
    <w:rsid w:val="00B24AC3"/>
    <w:rsid w:val="00B24C5C"/>
    <w:rsid w:val="00B24CB3"/>
    <w:rsid w:val="00B24D6E"/>
    <w:rsid w:val="00B24E39"/>
    <w:rsid w:val="00B2507D"/>
    <w:rsid w:val="00B251ED"/>
    <w:rsid w:val="00B252F3"/>
    <w:rsid w:val="00B25429"/>
    <w:rsid w:val="00B2552D"/>
    <w:rsid w:val="00B2558B"/>
    <w:rsid w:val="00B255C0"/>
    <w:rsid w:val="00B2573D"/>
    <w:rsid w:val="00B257B2"/>
    <w:rsid w:val="00B25ABE"/>
    <w:rsid w:val="00B25BA4"/>
    <w:rsid w:val="00B25CF1"/>
    <w:rsid w:val="00B25E24"/>
    <w:rsid w:val="00B26002"/>
    <w:rsid w:val="00B26341"/>
    <w:rsid w:val="00B26537"/>
    <w:rsid w:val="00B26644"/>
    <w:rsid w:val="00B26674"/>
    <w:rsid w:val="00B26A6A"/>
    <w:rsid w:val="00B27115"/>
    <w:rsid w:val="00B276A1"/>
    <w:rsid w:val="00B277F3"/>
    <w:rsid w:val="00B27849"/>
    <w:rsid w:val="00B278D8"/>
    <w:rsid w:val="00B279C3"/>
    <w:rsid w:val="00B27CB3"/>
    <w:rsid w:val="00B27CF6"/>
    <w:rsid w:val="00B27D2C"/>
    <w:rsid w:val="00B27FD2"/>
    <w:rsid w:val="00B301FE"/>
    <w:rsid w:val="00B30239"/>
    <w:rsid w:val="00B3023E"/>
    <w:rsid w:val="00B302A3"/>
    <w:rsid w:val="00B302B5"/>
    <w:rsid w:val="00B305DE"/>
    <w:rsid w:val="00B30696"/>
    <w:rsid w:val="00B306C5"/>
    <w:rsid w:val="00B30857"/>
    <w:rsid w:val="00B3087C"/>
    <w:rsid w:val="00B30A1C"/>
    <w:rsid w:val="00B30AED"/>
    <w:rsid w:val="00B30C15"/>
    <w:rsid w:val="00B30C2E"/>
    <w:rsid w:val="00B30CEC"/>
    <w:rsid w:val="00B30E68"/>
    <w:rsid w:val="00B30E7B"/>
    <w:rsid w:val="00B30EAB"/>
    <w:rsid w:val="00B31103"/>
    <w:rsid w:val="00B312B2"/>
    <w:rsid w:val="00B31309"/>
    <w:rsid w:val="00B313A5"/>
    <w:rsid w:val="00B3152C"/>
    <w:rsid w:val="00B315AA"/>
    <w:rsid w:val="00B31610"/>
    <w:rsid w:val="00B316E0"/>
    <w:rsid w:val="00B31890"/>
    <w:rsid w:val="00B3199F"/>
    <w:rsid w:val="00B31C82"/>
    <w:rsid w:val="00B31F89"/>
    <w:rsid w:val="00B3204B"/>
    <w:rsid w:val="00B32299"/>
    <w:rsid w:val="00B32371"/>
    <w:rsid w:val="00B323DE"/>
    <w:rsid w:val="00B324B0"/>
    <w:rsid w:val="00B32782"/>
    <w:rsid w:val="00B3281C"/>
    <w:rsid w:val="00B32851"/>
    <w:rsid w:val="00B32894"/>
    <w:rsid w:val="00B328E4"/>
    <w:rsid w:val="00B32BD5"/>
    <w:rsid w:val="00B32CC9"/>
    <w:rsid w:val="00B32F19"/>
    <w:rsid w:val="00B330C2"/>
    <w:rsid w:val="00B330DA"/>
    <w:rsid w:val="00B336DE"/>
    <w:rsid w:val="00B3397D"/>
    <w:rsid w:val="00B33AB1"/>
    <w:rsid w:val="00B33BCB"/>
    <w:rsid w:val="00B33C19"/>
    <w:rsid w:val="00B33FC2"/>
    <w:rsid w:val="00B340D3"/>
    <w:rsid w:val="00B34184"/>
    <w:rsid w:val="00B341BC"/>
    <w:rsid w:val="00B3420C"/>
    <w:rsid w:val="00B344AD"/>
    <w:rsid w:val="00B344C9"/>
    <w:rsid w:val="00B34557"/>
    <w:rsid w:val="00B34576"/>
    <w:rsid w:val="00B34889"/>
    <w:rsid w:val="00B34916"/>
    <w:rsid w:val="00B34DB3"/>
    <w:rsid w:val="00B34E78"/>
    <w:rsid w:val="00B34F60"/>
    <w:rsid w:val="00B351E6"/>
    <w:rsid w:val="00B35350"/>
    <w:rsid w:val="00B353B7"/>
    <w:rsid w:val="00B353E5"/>
    <w:rsid w:val="00B35438"/>
    <w:rsid w:val="00B3562E"/>
    <w:rsid w:val="00B35638"/>
    <w:rsid w:val="00B3577C"/>
    <w:rsid w:val="00B357D9"/>
    <w:rsid w:val="00B35871"/>
    <w:rsid w:val="00B358B9"/>
    <w:rsid w:val="00B358BA"/>
    <w:rsid w:val="00B358F2"/>
    <w:rsid w:val="00B35A70"/>
    <w:rsid w:val="00B35D3C"/>
    <w:rsid w:val="00B35DC4"/>
    <w:rsid w:val="00B35ED0"/>
    <w:rsid w:val="00B35F2F"/>
    <w:rsid w:val="00B36204"/>
    <w:rsid w:val="00B36210"/>
    <w:rsid w:val="00B36243"/>
    <w:rsid w:val="00B365BF"/>
    <w:rsid w:val="00B3669E"/>
    <w:rsid w:val="00B366CD"/>
    <w:rsid w:val="00B36C33"/>
    <w:rsid w:val="00B36FD2"/>
    <w:rsid w:val="00B3716C"/>
    <w:rsid w:val="00B3769D"/>
    <w:rsid w:val="00B377AF"/>
    <w:rsid w:val="00B37C50"/>
    <w:rsid w:val="00B37FBF"/>
    <w:rsid w:val="00B40184"/>
    <w:rsid w:val="00B40227"/>
    <w:rsid w:val="00B40535"/>
    <w:rsid w:val="00B40571"/>
    <w:rsid w:val="00B40575"/>
    <w:rsid w:val="00B405F4"/>
    <w:rsid w:val="00B407C1"/>
    <w:rsid w:val="00B40846"/>
    <w:rsid w:val="00B408D6"/>
    <w:rsid w:val="00B40BB8"/>
    <w:rsid w:val="00B40C10"/>
    <w:rsid w:val="00B40C39"/>
    <w:rsid w:val="00B40D9E"/>
    <w:rsid w:val="00B40DD5"/>
    <w:rsid w:val="00B40DE6"/>
    <w:rsid w:val="00B40E75"/>
    <w:rsid w:val="00B40F2C"/>
    <w:rsid w:val="00B41686"/>
    <w:rsid w:val="00B41FBD"/>
    <w:rsid w:val="00B421B7"/>
    <w:rsid w:val="00B42515"/>
    <w:rsid w:val="00B4254B"/>
    <w:rsid w:val="00B42A25"/>
    <w:rsid w:val="00B42C77"/>
    <w:rsid w:val="00B42DEB"/>
    <w:rsid w:val="00B42E10"/>
    <w:rsid w:val="00B42E2A"/>
    <w:rsid w:val="00B431F0"/>
    <w:rsid w:val="00B4323A"/>
    <w:rsid w:val="00B434B2"/>
    <w:rsid w:val="00B435C8"/>
    <w:rsid w:val="00B43679"/>
    <w:rsid w:val="00B437D2"/>
    <w:rsid w:val="00B43882"/>
    <w:rsid w:val="00B43951"/>
    <w:rsid w:val="00B43A5A"/>
    <w:rsid w:val="00B43C4D"/>
    <w:rsid w:val="00B43D6C"/>
    <w:rsid w:val="00B43F3F"/>
    <w:rsid w:val="00B440E6"/>
    <w:rsid w:val="00B442D4"/>
    <w:rsid w:val="00B443FC"/>
    <w:rsid w:val="00B44438"/>
    <w:rsid w:val="00B445AB"/>
    <w:rsid w:val="00B445C8"/>
    <w:rsid w:val="00B4470A"/>
    <w:rsid w:val="00B448B7"/>
    <w:rsid w:val="00B4496C"/>
    <w:rsid w:val="00B44971"/>
    <w:rsid w:val="00B44DDB"/>
    <w:rsid w:val="00B44E35"/>
    <w:rsid w:val="00B45024"/>
    <w:rsid w:val="00B450A0"/>
    <w:rsid w:val="00B45243"/>
    <w:rsid w:val="00B45686"/>
    <w:rsid w:val="00B456C0"/>
    <w:rsid w:val="00B45738"/>
    <w:rsid w:val="00B45B91"/>
    <w:rsid w:val="00B45CDE"/>
    <w:rsid w:val="00B45CF4"/>
    <w:rsid w:val="00B45D11"/>
    <w:rsid w:val="00B45ED7"/>
    <w:rsid w:val="00B45F47"/>
    <w:rsid w:val="00B45FCE"/>
    <w:rsid w:val="00B46117"/>
    <w:rsid w:val="00B46242"/>
    <w:rsid w:val="00B46313"/>
    <w:rsid w:val="00B4653B"/>
    <w:rsid w:val="00B465AC"/>
    <w:rsid w:val="00B465FF"/>
    <w:rsid w:val="00B46969"/>
    <w:rsid w:val="00B46A14"/>
    <w:rsid w:val="00B46BA7"/>
    <w:rsid w:val="00B46C19"/>
    <w:rsid w:val="00B46C1E"/>
    <w:rsid w:val="00B46E8A"/>
    <w:rsid w:val="00B46ECA"/>
    <w:rsid w:val="00B46F20"/>
    <w:rsid w:val="00B4712E"/>
    <w:rsid w:val="00B471EF"/>
    <w:rsid w:val="00B47249"/>
    <w:rsid w:val="00B472FF"/>
    <w:rsid w:val="00B477A8"/>
    <w:rsid w:val="00B479A5"/>
    <w:rsid w:val="00B47AD1"/>
    <w:rsid w:val="00B47E71"/>
    <w:rsid w:val="00B50078"/>
    <w:rsid w:val="00B5073C"/>
    <w:rsid w:val="00B5083A"/>
    <w:rsid w:val="00B50887"/>
    <w:rsid w:val="00B50AFE"/>
    <w:rsid w:val="00B50D69"/>
    <w:rsid w:val="00B50D98"/>
    <w:rsid w:val="00B50E2C"/>
    <w:rsid w:val="00B50E2E"/>
    <w:rsid w:val="00B50E32"/>
    <w:rsid w:val="00B50E8B"/>
    <w:rsid w:val="00B510F0"/>
    <w:rsid w:val="00B512AD"/>
    <w:rsid w:val="00B51357"/>
    <w:rsid w:val="00B51862"/>
    <w:rsid w:val="00B518A9"/>
    <w:rsid w:val="00B51C38"/>
    <w:rsid w:val="00B51CE1"/>
    <w:rsid w:val="00B51D24"/>
    <w:rsid w:val="00B51DCF"/>
    <w:rsid w:val="00B52061"/>
    <w:rsid w:val="00B52099"/>
    <w:rsid w:val="00B52116"/>
    <w:rsid w:val="00B522E0"/>
    <w:rsid w:val="00B523D9"/>
    <w:rsid w:val="00B525DC"/>
    <w:rsid w:val="00B525F0"/>
    <w:rsid w:val="00B5272F"/>
    <w:rsid w:val="00B5291A"/>
    <w:rsid w:val="00B52E25"/>
    <w:rsid w:val="00B52E63"/>
    <w:rsid w:val="00B52F45"/>
    <w:rsid w:val="00B52FB9"/>
    <w:rsid w:val="00B52FDD"/>
    <w:rsid w:val="00B5301F"/>
    <w:rsid w:val="00B530B4"/>
    <w:rsid w:val="00B5349B"/>
    <w:rsid w:val="00B53606"/>
    <w:rsid w:val="00B536C5"/>
    <w:rsid w:val="00B53854"/>
    <w:rsid w:val="00B53A98"/>
    <w:rsid w:val="00B53ADE"/>
    <w:rsid w:val="00B53E21"/>
    <w:rsid w:val="00B53E43"/>
    <w:rsid w:val="00B54094"/>
    <w:rsid w:val="00B54132"/>
    <w:rsid w:val="00B54376"/>
    <w:rsid w:val="00B54795"/>
    <w:rsid w:val="00B5484F"/>
    <w:rsid w:val="00B548E5"/>
    <w:rsid w:val="00B54AD3"/>
    <w:rsid w:val="00B54CDE"/>
    <w:rsid w:val="00B54D27"/>
    <w:rsid w:val="00B54DD0"/>
    <w:rsid w:val="00B54E40"/>
    <w:rsid w:val="00B54E5A"/>
    <w:rsid w:val="00B54FAA"/>
    <w:rsid w:val="00B55113"/>
    <w:rsid w:val="00B552BB"/>
    <w:rsid w:val="00B5530E"/>
    <w:rsid w:val="00B554C8"/>
    <w:rsid w:val="00B55776"/>
    <w:rsid w:val="00B55B6A"/>
    <w:rsid w:val="00B55B84"/>
    <w:rsid w:val="00B55C60"/>
    <w:rsid w:val="00B55E03"/>
    <w:rsid w:val="00B56033"/>
    <w:rsid w:val="00B56487"/>
    <w:rsid w:val="00B565B0"/>
    <w:rsid w:val="00B56618"/>
    <w:rsid w:val="00B5661C"/>
    <w:rsid w:val="00B56659"/>
    <w:rsid w:val="00B5683F"/>
    <w:rsid w:val="00B56AF6"/>
    <w:rsid w:val="00B56F05"/>
    <w:rsid w:val="00B572EE"/>
    <w:rsid w:val="00B57483"/>
    <w:rsid w:val="00B57912"/>
    <w:rsid w:val="00B57989"/>
    <w:rsid w:val="00B579CF"/>
    <w:rsid w:val="00B57D4D"/>
    <w:rsid w:val="00B57D8B"/>
    <w:rsid w:val="00B57F51"/>
    <w:rsid w:val="00B60008"/>
    <w:rsid w:val="00B6025D"/>
    <w:rsid w:val="00B60293"/>
    <w:rsid w:val="00B606A9"/>
    <w:rsid w:val="00B606D4"/>
    <w:rsid w:val="00B60835"/>
    <w:rsid w:val="00B608CF"/>
    <w:rsid w:val="00B6094C"/>
    <w:rsid w:val="00B60A5A"/>
    <w:rsid w:val="00B60CCC"/>
    <w:rsid w:val="00B60CDA"/>
    <w:rsid w:val="00B60D4B"/>
    <w:rsid w:val="00B60FBE"/>
    <w:rsid w:val="00B617B0"/>
    <w:rsid w:val="00B61851"/>
    <w:rsid w:val="00B61897"/>
    <w:rsid w:val="00B619C2"/>
    <w:rsid w:val="00B61B68"/>
    <w:rsid w:val="00B61BA8"/>
    <w:rsid w:val="00B61C6E"/>
    <w:rsid w:val="00B61DA8"/>
    <w:rsid w:val="00B621E0"/>
    <w:rsid w:val="00B6227A"/>
    <w:rsid w:val="00B622D6"/>
    <w:rsid w:val="00B62357"/>
    <w:rsid w:val="00B62697"/>
    <w:rsid w:val="00B62B8A"/>
    <w:rsid w:val="00B62BF6"/>
    <w:rsid w:val="00B62D9B"/>
    <w:rsid w:val="00B62E43"/>
    <w:rsid w:val="00B62FE9"/>
    <w:rsid w:val="00B6300C"/>
    <w:rsid w:val="00B63261"/>
    <w:rsid w:val="00B6336C"/>
    <w:rsid w:val="00B633C2"/>
    <w:rsid w:val="00B637C1"/>
    <w:rsid w:val="00B637D7"/>
    <w:rsid w:val="00B63C7C"/>
    <w:rsid w:val="00B63D01"/>
    <w:rsid w:val="00B63DCF"/>
    <w:rsid w:val="00B644F4"/>
    <w:rsid w:val="00B64520"/>
    <w:rsid w:val="00B6459F"/>
    <w:rsid w:val="00B645EF"/>
    <w:rsid w:val="00B64870"/>
    <w:rsid w:val="00B64A22"/>
    <w:rsid w:val="00B64A6A"/>
    <w:rsid w:val="00B64BFC"/>
    <w:rsid w:val="00B64D33"/>
    <w:rsid w:val="00B64F66"/>
    <w:rsid w:val="00B64FD4"/>
    <w:rsid w:val="00B64FE0"/>
    <w:rsid w:val="00B654E8"/>
    <w:rsid w:val="00B65626"/>
    <w:rsid w:val="00B65745"/>
    <w:rsid w:val="00B65796"/>
    <w:rsid w:val="00B65872"/>
    <w:rsid w:val="00B65953"/>
    <w:rsid w:val="00B6597D"/>
    <w:rsid w:val="00B65D16"/>
    <w:rsid w:val="00B66013"/>
    <w:rsid w:val="00B661CB"/>
    <w:rsid w:val="00B66687"/>
    <w:rsid w:val="00B666BD"/>
    <w:rsid w:val="00B666E8"/>
    <w:rsid w:val="00B66A39"/>
    <w:rsid w:val="00B66AE0"/>
    <w:rsid w:val="00B66C73"/>
    <w:rsid w:val="00B66CD3"/>
    <w:rsid w:val="00B66E54"/>
    <w:rsid w:val="00B66E69"/>
    <w:rsid w:val="00B6725C"/>
    <w:rsid w:val="00B67295"/>
    <w:rsid w:val="00B6732B"/>
    <w:rsid w:val="00B6746E"/>
    <w:rsid w:val="00B67489"/>
    <w:rsid w:val="00B677F8"/>
    <w:rsid w:val="00B679E6"/>
    <w:rsid w:val="00B679F8"/>
    <w:rsid w:val="00B67B6C"/>
    <w:rsid w:val="00B67BCC"/>
    <w:rsid w:val="00B67C0C"/>
    <w:rsid w:val="00B70336"/>
    <w:rsid w:val="00B7043F"/>
    <w:rsid w:val="00B704C9"/>
    <w:rsid w:val="00B70652"/>
    <w:rsid w:val="00B70718"/>
    <w:rsid w:val="00B70752"/>
    <w:rsid w:val="00B7084F"/>
    <w:rsid w:val="00B708D0"/>
    <w:rsid w:val="00B7097F"/>
    <w:rsid w:val="00B709EF"/>
    <w:rsid w:val="00B70D44"/>
    <w:rsid w:val="00B70D6C"/>
    <w:rsid w:val="00B70DA0"/>
    <w:rsid w:val="00B70E00"/>
    <w:rsid w:val="00B71098"/>
    <w:rsid w:val="00B710F5"/>
    <w:rsid w:val="00B71208"/>
    <w:rsid w:val="00B71311"/>
    <w:rsid w:val="00B716C8"/>
    <w:rsid w:val="00B716ED"/>
    <w:rsid w:val="00B719E6"/>
    <w:rsid w:val="00B71AD8"/>
    <w:rsid w:val="00B71F9F"/>
    <w:rsid w:val="00B72285"/>
    <w:rsid w:val="00B72300"/>
    <w:rsid w:val="00B72330"/>
    <w:rsid w:val="00B726FD"/>
    <w:rsid w:val="00B72745"/>
    <w:rsid w:val="00B7274C"/>
    <w:rsid w:val="00B72A12"/>
    <w:rsid w:val="00B72B56"/>
    <w:rsid w:val="00B72D7D"/>
    <w:rsid w:val="00B72EFA"/>
    <w:rsid w:val="00B73149"/>
    <w:rsid w:val="00B732B7"/>
    <w:rsid w:val="00B7331F"/>
    <w:rsid w:val="00B7341F"/>
    <w:rsid w:val="00B735B0"/>
    <w:rsid w:val="00B736E9"/>
    <w:rsid w:val="00B73802"/>
    <w:rsid w:val="00B7384F"/>
    <w:rsid w:val="00B738F2"/>
    <w:rsid w:val="00B739E7"/>
    <w:rsid w:val="00B73C27"/>
    <w:rsid w:val="00B73D9B"/>
    <w:rsid w:val="00B73EA1"/>
    <w:rsid w:val="00B74169"/>
    <w:rsid w:val="00B74245"/>
    <w:rsid w:val="00B7440B"/>
    <w:rsid w:val="00B744C9"/>
    <w:rsid w:val="00B7467E"/>
    <w:rsid w:val="00B748AF"/>
    <w:rsid w:val="00B749E6"/>
    <w:rsid w:val="00B74A4A"/>
    <w:rsid w:val="00B74D7D"/>
    <w:rsid w:val="00B74EDF"/>
    <w:rsid w:val="00B75035"/>
    <w:rsid w:val="00B750F1"/>
    <w:rsid w:val="00B751F7"/>
    <w:rsid w:val="00B75217"/>
    <w:rsid w:val="00B75405"/>
    <w:rsid w:val="00B754CB"/>
    <w:rsid w:val="00B756B8"/>
    <w:rsid w:val="00B75730"/>
    <w:rsid w:val="00B75782"/>
    <w:rsid w:val="00B758CC"/>
    <w:rsid w:val="00B75A38"/>
    <w:rsid w:val="00B75B20"/>
    <w:rsid w:val="00B75D52"/>
    <w:rsid w:val="00B75D76"/>
    <w:rsid w:val="00B75E44"/>
    <w:rsid w:val="00B75F0F"/>
    <w:rsid w:val="00B75F5F"/>
    <w:rsid w:val="00B76020"/>
    <w:rsid w:val="00B76031"/>
    <w:rsid w:val="00B76158"/>
    <w:rsid w:val="00B762CD"/>
    <w:rsid w:val="00B76509"/>
    <w:rsid w:val="00B7656B"/>
    <w:rsid w:val="00B765F3"/>
    <w:rsid w:val="00B7666E"/>
    <w:rsid w:val="00B766F0"/>
    <w:rsid w:val="00B769C8"/>
    <w:rsid w:val="00B77584"/>
    <w:rsid w:val="00B77AE3"/>
    <w:rsid w:val="00B77DAC"/>
    <w:rsid w:val="00B77F18"/>
    <w:rsid w:val="00B80114"/>
    <w:rsid w:val="00B80950"/>
    <w:rsid w:val="00B80A29"/>
    <w:rsid w:val="00B80E35"/>
    <w:rsid w:val="00B80F0E"/>
    <w:rsid w:val="00B811AD"/>
    <w:rsid w:val="00B811B7"/>
    <w:rsid w:val="00B81440"/>
    <w:rsid w:val="00B8165C"/>
    <w:rsid w:val="00B816A0"/>
    <w:rsid w:val="00B81857"/>
    <w:rsid w:val="00B8189D"/>
    <w:rsid w:val="00B81D62"/>
    <w:rsid w:val="00B821AC"/>
    <w:rsid w:val="00B821E5"/>
    <w:rsid w:val="00B823D5"/>
    <w:rsid w:val="00B8244C"/>
    <w:rsid w:val="00B82480"/>
    <w:rsid w:val="00B824E7"/>
    <w:rsid w:val="00B82513"/>
    <w:rsid w:val="00B826B9"/>
    <w:rsid w:val="00B8279E"/>
    <w:rsid w:val="00B8283C"/>
    <w:rsid w:val="00B828A8"/>
    <w:rsid w:val="00B828D4"/>
    <w:rsid w:val="00B82B04"/>
    <w:rsid w:val="00B82C52"/>
    <w:rsid w:val="00B82FD6"/>
    <w:rsid w:val="00B83256"/>
    <w:rsid w:val="00B832AC"/>
    <w:rsid w:val="00B832B5"/>
    <w:rsid w:val="00B83301"/>
    <w:rsid w:val="00B83458"/>
    <w:rsid w:val="00B83480"/>
    <w:rsid w:val="00B834C9"/>
    <w:rsid w:val="00B8356A"/>
    <w:rsid w:val="00B8357C"/>
    <w:rsid w:val="00B835A5"/>
    <w:rsid w:val="00B8372E"/>
    <w:rsid w:val="00B837A9"/>
    <w:rsid w:val="00B839E1"/>
    <w:rsid w:val="00B83A5B"/>
    <w:rsid w:val="00B83B56"/>
    <w:rsid w:val="00B83CA1"/>
    <w:rsid w:val="00B83CAF"/>
    <w:rsid w:val="00B83D0C"/>
    <w:rsid w:val="00B840ED"/>
    <w:rsid w:val="00B841AA"/>
    <w:rsid w:val="00B841E5"/>
    <w:rsid w:val="00B84271"/>
    <w:rsid w:val="00B842E1"/>
    <w:rsid w:val="00B84697"/>
    <w:rsid w:val="00B846C8"/>
    <w:rsid w:val="00B846EE"/>
    <w:rsid w:val="00B847EA"/>
    <w:rsid w:val="00B8481F"/>
    <w:rsid w:val="00B84989"/>
    <w:rsid w:val="00B84C14"/>
    <w:rsid w:val="00B84C4E"/>
    <w:rsid w:val="00B84C96"/>
    <w:rsid w:val="00B84DE8"/>
    <w:rsid w:val="00B84FEA"/>
    <w:rsid w:val="00B85013"/>
    <w:rsid w:val="00B850F1"/>
    <w:rsid w:val="00B85513"/>
    <w:rsid w:val="00B85678"/>
    <w:rsid w:val="00B857F0"/>
    <w:rsid w:val="00B85875"/>
    <w:rsid w:val="00B85C12"/>
    <w:rsid w:val="00B85CFE"/>
    <w:rsid w:val="00B85E0D"/>
    <w:rsid w:val="00B85E27"/>
    <w:rsid w:val="00B86081"/>
    <w:rsid w:val="00B86111"/>
    <w:rsid w:val="00B863B6"/>
    <w:rsid w:val="00B863F4"/>
    <w:rsid w:val="00B8649A"/>
    <w:rsid w:val="00B864E3"/>
    <w:rsid w:val="00B86C80"/>
    <w:rsid w:val="00B86FDE"/>
    <w:rsid w:val="00B870B6"/>
    <w:rsid w:val="00B872F4"/>
    <w:rsid w:val="00B874D8"/>
    <w:rsid w:val="00B877AA"/>
    <w:rsid w:val="00B87937"/>
    <w:rsid w:val="00B87A49"/>
    <w:rsid w:val="00B87ADB"/>
    <w:rsid w:val="00B87BB4"/>
    <w:rsid w:val="00B87BDE"/>
    <w:rsid w:val="00B87BFE"/>
    <w:rsid w:val="00B87D56"/>
    <w:rsid w:val="00B87D8C"/>
    <w:rsid w:val="00B87E0D"/>
    <w:rsid w:val="00B87EC1"/>
    <w:rsid w:val="00B8FB43"/>
    <w:rsid w:val="00B90124"/>
    <w:rsid w:val="00B90446"/>
    <w:rsid w:val="00B9074C"/>
    <w:rsid w:val="00B90877"/>
    <w:rsid w:val="00B9088B"/>
    <w:rsid w:val="00B90A1A"/>
    <w:rsid w:val="00B90A99"/>
    <w:rsid w:val="00B90AA9"/>
    <w:rsid w:val="00B90CA6"/>
    <w:rsid w:val="00B90E13"/>
    <w:rsid w:val="00B90E27"/>
    <w:rsid w:val="00B90F79"/>
    <w:rsid w:val="00B91032"/>
    <w:rsid w:val="00B91121"/>
    <w:rsid w:val="00B91220"/>
    <w:rsid w:val="00B912EB"/>
    <w:rsid w:val="00B91328"/>
    <w:rsid w:val="00B91405"/>
    <w:rsid w:val="00B9166A"/>
    <w:rsid w:val="00B91745"/>
    <w:rsid w:val="00B91749"/>
    <w:rsid w:val="00B91750"/>
    <w:rsid w:val="00B9188B"/>
    <w:rsid w:val="00B91A39"/>
    <w:rsid w:val="00B91A72"/>
    <w:rsid w:val="00B91C36"/>
    <w:rsid w:val="00B91D58"/>
    <w:rsid w:val="00B91F02"/>
    <w:rsid w:val="00B92018"/>
    <w:rsid w:val="00B92061"/>
    <w:rsid w:val="00B92187"/>
    <w:rsid w:val="00B923F8"/>
    <w:rsid w:val="00B9241A"/>
    <w:rsid w:val="00B925B3"/>
    <w:rsid w:val="00B926BF"/>
    <w:rsid w:val="00B9292A"/>
    <w:rsid w:val="00B929EA"/>
    <w:rsid w:val="00B92E01"/>
    <w:rsid w:val="00B92E38"/>
    <w:rsid w:val="00B931C0"/>
    <w:rsid w:val="00B93258"/>
    <w:rsid w:val="00B93296"/>
    <w:rsid w:val="00B93304"/>
    <w:rsid w:val="00B9331E"/>
    <w:rsid w:val="00B933BA"/>
    <w:rsid w:val="00B9348F"/>
    <w:rsid w:val="00B9394E"/>
    <w:rsid w:val="00B93A0C"/>
    <w:rsid w:val="00B93C80"/>
    <w:rsid w:val="00B93CB1"/>
    <w:rsid w:val="00B93ECF"/>
    <w:rsid w:val="00B94140"/>
    <w:rsid w:val="00B943C7"/>
    <w:rsid w:val="00B945EE"/>
    <w:rsid w:val="00B945F1"/>
    <w:rsid w:val="00B945F8"/>
    <w:rsid w:val="00B94636"/>
    <w:rsid w:val="00B9471F"/>
    <w:rsid w:val="00B948A0"/>
    <w:rsid w:val="00B9495A"/>
    <w:rsid w:val="00B94A1D"/>
    <w:rsid w:val="00B94AA9"/>
    <w:rsid w:val="00B94B92"/>
    <w:rsid w:val="00B94DE1"/>
    <w:rsid w:val="00B94EAC"/>
    <w:rsid w:val="00B9504A"/>
    <w:rsid w:val="00B95090"/>
    <w:rsid w:val="00B95177"/>
    <w:rsid w:val="00B9543E"/>
    <w:rsid w:val="00B95458"/>
    <w:rsid w:val="00B9556F"/>
    <w:rsid w:val="00B95969"/>
    <w:rsid w:val="00B95A7B"/>
    <w:rsid w:val="00B95B2A"/>
    <w:rsid w:val="00B95D2E"/>
    <w:rsid w:val="00B95DAE"/>
    <w:rsid w:val="00B95EDA"/>
    <w:rsid w:val="00B96088"/>
    <w:rsid w:val="00B962BD"/>
    <w:rsid w:val="00B9636D"/>
    <w:rsid w:val="00B965FC"/>
    <w:rsid w:val="00B96A63"/>
    <w:rsid w:val="00B96C4E"/>
    <w:rsid w:val="00B96C81"/>
    <w:rsid w:val="00B96F18"/>
    <w:rsid w:val="00B972CD"/>
    <w:rsid w:val="00B972FC"/>
    <w:rsid w:val="00B9759A"/>
    <w:rsid w:val="00B976E7"/>
    <w:rsid w:val="00B9793B"/>
    <w:rsid w:val="00B97D45"/>
    <w:rsid w:val="00B97DD1"/>
    <w:rsid w:val="00B97E55"/>
    <w:rsid w:val="00B97E64"/>
    <w:rsid w:val="00B97EC6"/>
    <w:rsid w:val="00B97F59"/>
    <w:rsid w:val="00BA03C8"/>
    <w:rsid w:val="00BA0409"/>
    <w:rsid w:val="00BA05E6"/>
    <w:rsid w:val="00BA0A4E"/>
    <w:rsid w:val="00BA0B3D"/>
    <w:rsid w:val="00BA0BEA"/>
    <w:rsid w:val="00BA0C64"/>
    <w:rsid w:val="00BA0E0E"/>
    <w:rsid w:val="00BA0E1D"/>
    <w:rsid w:val="00BA0E7F"/>
    <w:rsid w:val="00BA0F2C"/>
    <w:rsid w:val="00BA0F78"/>
    <w:rsid w:val="00BA112B"/>
    <w:rsid w:val="00BA1227"/>
    <w:rsid w:val="00BA15A7"/>
    <w:rsid w:val="00BA1C86"/>
    <w:rsid w:val="00BA1D42"/>
    <w:rsid w:val="00BA1FDD"/>
    <w:rsid w:val="00BA2589"/>
    <w:rsid w:val="00BA25B1"/>
    <w:rsid w:val="00BA25FE"/>
    <w:rsid w:val="00BA2787"/>
    <w:rsid w:val="00BA2B26"/>
    <w:rsid w:val="00BA2B71"/>
    <w:rsid w:val="00BA2B80"/>
    <w:rsid w:val="00BA2C1B"/>
    <w:rsid w:val="00BA2C43"/>
    <w:rsid w:val="00BA2D8F"/>
    <w:rsid w:val="00BA2DF3"/>
    <w:rsid w:val="00BA30BC"/>
    <w:rsid w:val="00BA3253"/>
    <w:rsid w:val="00BA32D3"/>
    <w:rsid w:val="00BA347D"/>
    <w:rsid w:val="00BA3560"/>
    <w:rsid w:val="00BA371A"/>
    <w:rsid w:val="00BA3799"/>
    <w:rsid w:val="00BA37E0"/>
    <w:rsid w:val="00BA3923"/>
    <w:rsid w:val="00BA398C"/>
    <w:rsid w:val="00BA3D4A"/>
    <w:rsid w:val="00BA3E84"/>
    <w:rsid w:val="00BA3F53"/>
    <w:rsid w:val="00BA4025"/>
    <w:rsid w:val="00BA4197"/>
    <w:rsid w:val="00BA4318"/>
    <w:rsid w:val="00BA4488"/>
    <w:rsid w:val="00BA4679"/>
    <w:rsid w:val="00BA4812"/>
    <w:rsid w:val="00BA488F"/>
    <w:rsid w:val="00BA48ED"/>
    <w:rsid w:val="00BA49E5"/>
    <w:rsid w:val="00BA4A4B"/>
    <w:rsid w:val="00BA4AA8"/>
    <w:rsid w:val="00BA5076"/>
    <w:rsid w:val="00BA521E"/>
    <w:rsid w:val="00BA5483"/>
    <w:rsid w:val="00BA5C6B"/>
    <w:rsid w:val="00BA5D15"/>
    <w:rsid w:val="00BA5E55"/>
    <w:rsid w:val="00BA5EA4"/>
    <w:rsid w:val="00BA5EC0"/>
    <w:rsid w:val="00BA5EFE"/>
    <w:rsid w:val="00BA600A"/>
    <w:rsid w:val="00BA631E"/>
    <w:rsid w:val="00BA634B"/>
    <w:rsid w:val="00BA6376"/>
    <w:rsid w:val="00BA6388"/>
    <w:rsid w:val="00BA6409"/>
    <w:rsid w:val="00BA6441"/>
    <w:rsid w:val="00BA6512"/>
    <w:rsid w:val="00BA66B3"/>
    <w:rsid w:val="00BA6843"/>
    <w:rsid w:val="00BA685B"/>
    <w:rsid w:val="00BA6B4B"/>
    <w:rsid w:val="00BA6C01"/>
    <w:rsid w:val="00BA6C57"/>
    <w:rsid w:val="00BA6D2F"/>
    <w:rsid w:val="00BA6D61"/>
    <w:rsid w:val="00BA6DE9"/>
    <w:rsid w:val="00BA6F20"/>
    <w:rsid w:val="00BA70F0"/>
    <w:rsid w:val="00BA7151"/>
    <w:rsid w:val="00BA7205"/>
    <w:rsid w:val="00BA74C9"/>
    <w:rsid w:val="00BA7536"/>
    <w:rsid w:val="00BA754A"/>
    <w:rsid w:val="00BA7780"/>
    <w:rsid w:val="00BA790C"/>
    <w:rsid w:val="00BA7B06"/>
    <w:rsid w:val="00BA7B70"/>
    <w:rsid w:val="00BA7C2E"/>
    <w:rsid w:val="00BA7CCE"/>
    <w:rsid w:val="00BB046D"/>
    <w:rsid w:val="00BB09AB"/>
    <w:rsid w:val="00BB0C61"/>
    <w:rsid w:val="00BB0CC1"/>
    <w:rsid w:val="00BB0CC6"/>
    <w:rsid w:val="00BB0D0F"/>
    <w:rsid w:val="00BB0D47"/>
    <w:rsid w:val="00BB0D6F"/>
    <w:rsid w:val="00BB0D92"/>
    <w:rsid w:val="00BB0F5A"/>
    <w:rsid w:val="00BB0F9F"/>
    <w:rsid w:val="00BB0FEB"/>
    <w:rsid w:val="00BB126B"/>
    <w:rsid w:val="00BB13DA"/>
    <w:rsid w:val="00BB1548"/>
    <w:rsid w:val="00BB162E"/>
    <w:rsid w:val="00BB1729"/>
    <w:rsid w:val="00BB1848"/>
    <w:rsid w:val="00BB1945"/>
    <w:rsid w:val="00BB19F9"/>
    <w:rsid w:val="00BB1A88"/>
    <w:rsid w:val="00BB1BC2"/>
    <w:rsid w:val="00BB1CA9"/>
    <w:rsid w:val="00BB1E28"/>
    <w:rsid w:val="00BB1EF8"/>
    <w:rsid w:val="00BB203A"/>
    <w:rsid w:val="00BB251C"/>
    <w:rsid w:val="00BB2554"/>
    <w:rsid w:val="00BB28D2"/>
    <w:rsid w:val="00BB2AF1"/>
    <w:rsid w:val="00BB3295"/>
    <w:rsid w:val="00BB32FE"/>
    <w:rsid w:val="00BB346C"/>
    <w:rsid w:val="00BB3922"/>
    <w:rsid w:val="00BB3AAB"/>
    <w:rsid w:val="00BB3B9E"/>
    <w:rsid w:val="00BB3C88"/>
    <w:rsid w:val="00BB3DDF"/>
    <w:rsid w:val="00BB3F26"/>
    <w:rsid w:val="00BB4292"/>
    <w:rsid w:val="00BB42F9"/>
    <w:rsid w:val="00BB44B8"/>
    <w:rsid w:val="00BB455F"/>
    <w:rsid w:val="00BB457D"/>
    <w:rsid w:val="00BB45C4"/>
    <w:rsid w:val="00BB4638"/>
    <w:rsid w:val="00BB4830"/>
    <w:rsid w:val="00BB48A8"/>
    <w:rsid w:val="00BB4921"/>
    <w:rsid w:val="00BB4947"/>
    <w:rsid w:val="00BB4A4E"/>
    <w:rsid w:val="00BB4C24"/>
    <w:rsid w:val="00BB4CAD"/>
    <w:rsid w:val="00BB4E6A"/>
    <w:rsid w:val="00BB500F"/>
    <w:rsid w:val="00BB5015"/>
    <w:rsid w:val="00BB50AC"/>
    <w:rsid w:val="00BB51A7"/>
    <w:rsid w:val="00BB5230"/>
    <w:rsid w:val="00BB5312"/>
    <w:rsid w:val="00BB5494"/>
    <w:rsid w:val="00BB54C5"/>
    <w:rsid w:val="00BB5585"/>
    <w:rsid w:val="00BB55F5"/>
    <w:rsid w:val="00BB5767"/>
    <w:rsid w:val="00BB5937"/>
    <w:rsid w:val="00BB5AB6"/>
    <w:rsid w:val="00BB5BB5"/>
    <w:rsid w:val="00BB5F4C"/>
    <w:rsid w:val="00BB6045"/>
    <w:rsid w:val="00BB6314"/>
    <w:rsid w:val="00BB63CA"/>
    <w:rsid w:val="00BB63F7"/>
    <w:rsid w:val="00BB64F7"/>
    <w:rsid w:val="00BB674D"/>
    <w:rsid w:val="00BB67EC"/>
    <w:rsid w:val="00BB6BD9"/>
    <w:rsid w:val="00BB6C74"/>
    <w:rsid w:val="00BB6CDB"/>
    <w:rsid w:val="00BB6D55"/>
    <w:rsid w:val="00BB6DD1"/>
    <w:rsid w:val="00BB706B"/>
    <w:rsid w:val="00BB71BE"/>
    <w:rsid w:val="00BB7419"/>
    <w:rsid w:val="00BB762C"/>
    <w:rsid w:val="00BB76EE"/>
    <w:rsid w:val="00BB7836"/>
    <w:rsid w:val="00BB78C8"/>
    <w:rsid w:val="00BB7959"/>
    <w:rsid w:val="00BB7A92"/>
    <w:rsid w:val="00BB7F27"/>
    <w:rsid w:val="00BB7FF0"/>
    <w:rsid w:val="00BC014E"/>
    <w:rsid w:val="00BC029E"/>
    <w:rsid w:val="00BC0326"/>
    <w:rsid w:val="00BC0400"/>
    <w:rsid w:val="00BC041E"/>
    <w:rsid w:val="00BC0814"/>
    <w:rsid w:val="00BC08BF"/>
    <w:rsid w:val="00BC0AC4"/>
    <w:rsid w:val="00BC0EA9"/>
    <w:rsid w:val="00BC10E1"/>
    <w:rsid w:val="00BC10E7"/>
    <w:rsid w:val="00BC1126"/>
    <w:rsid w:val="00BC11B8"/>
    <w:rsid w:val="00BC1506"/>
    <w:rsid w:val="00BC18FA"/>
    <w:rsid w:val="00BC1A38"/>
    <w:rsid w:val="00BC1A3C"/>
    <w:rsid w:val="00BC1B41"/>
    <w:rsid w:val="00BC1C50"/>
    <w:rsid w:val="00BC1C52"/>
    <w:rsid w:val="00BC1E6B"/>
    <w:rsid w:val="00BC2009"/>
    <w:rsid w:val="00BC2104"/>
    <w:rsid w:val="00BC2A51"/>
    <w:rsid w:val="00BC2BE0"/>
    <w:rsid w:val="00BC2C2D"/>
    <w:rsid w:val="00BC2C80"/>
    <w:rsid w:val="00BC2C92"/>
    <w:rsid w:val="00BC2CB6"/>
    <w:rsid w:val="00BC2D7C"/>
    <w:rsid w:val="00BC2E08"/>
    <w:rsid w:val="00BC2FA5"/>
    <w:rsid w:val="00BC3037"/>
    <w:rsid w:val="00BC3208"/>
    <w:rsid w:val="00BC3511"/>
    <w:rsid w:val="00BC3544"/>
    <w:rsid w:val="00BC36AE"/>
    <w:rsid w:val="00BC37C0"/>
    <w:rsid w:val="00BC3A27"/>
    <w:rsid w:val="00BC3C85"/>
    <w:rsid w:val="00BC3DC8"/>
    <w:rsid w:val="00BC42A8"/>
    <w:rsid w:val="00BC434B"/>
    <w:rsid w:val="00BC4840"/>
    <w:rsid w:val="00BC4908"/>
    <w:rsid w:val="00BC4A8D"/>
    <w:rsid w:val="00BC4B2D"/>
    <w:rsid w:val="00BC4C23"/>
    <w:rsid w:val="00BC4E9F"/>
    <w:rsid w:val="00BC4EBB"/>
    <w:rsid w:val="00BC50C4"/>
    <w:rsid w:val="00BC5372"/>
    <w:rsid w:val="00BC5431"/>
    <w:rsid w:val="00BC551D"/>
    <w:rsid w:val="00BC561D"/>
    <w:rsid w:val="00BC574B"/>
    <w:rsid w:val="00BC574C"/>
    <w:rsid w:val="00BC5802"/>
    <w:rsid w:val="00BC586C"/>
    <w:rsid w:val="00BC58B9"/>
    <w:rsid w:val="00BC58EF"/>
    <w:rsid w:val="00BC5A16"/>
    <w:rsid w:val="00BC5A4C"/>
    <w:rsid w:val="00BC5D4B"/>
    <w:rsid w:val="00BC5DB4"/>
    <w:rsid w:val="00BC5EA4"/>
    <w:rsid w:val="00BC5F6D"/>
    <w:rsid w:val="00BC6149"/>
    <w:rsid w:val="00BC61A2"/>
    <w:rsid w:val="00BC633F"/>
    <w:rsid w:val="00BC6633"/>
    <w:rsid w:val="00BC6695"/>
    <w:rsid w:val="00BC674E"/>
    <w:rsid w:val="00BC68EC"/>
    <w:rsid w:val="00BC6922"/>
    <w:rsid w:val="00BC69E4"/>
    <w:rsid w:val="00BC69E7"/>
    <w:rsid w:val="00BC6A27"/>
    <w:rsid w:val="00BC6E63"/>
    <w:rsid w:val="00BC70A3"/>
    <w:rsid w:val="00BC7149"/>
    <w:rsid w:val="00BC7555"/>
    <w:rsid w:val="00BC75FF"/>
    <w:rsid w:val="00BC7928"/>
    <w:rsid w:val="00BC7B3D"/>
    <w:rsid w:val="00BC7C12"/>
    <w:rsid w:val="00BC7CC3"/>
    <w:rsid w:val="00BC7E10"/>
    <w:rsid w:val="00BC7E27"/>
    <w:rsid w:val="00BC7FB0"/>
    <w:rsid w:val="00BC7FF1"/>
    <w:rsid w:val="00BD0014"/>
    <w:rsid w:val="00BD008E"/>
    <w:rsid w:val="00BD0136"/>
    <w:rsid w:val="00BD0176"/>
    <w:rsid w:val="00BD0216"/>
    <w:rsid w:val="00BD02DB"/>
    <w:rsid w:val="00BD030B"/>
    <w:rsid w:val="00BD037D"/>
    <w:rsid w:val="00BD03A1"/>
    <w:rsid w:val="00BD03C5"/>
    <w:rsid w:val="00BD0581"/>
    <w:rsid w:val="00BD0656"/>
    <w:rsid w:val="00BD094A"/>
    <w:rsid w:val="00BD0A2D"/>
    <w:rsid w:val="00BD0BCE"/>
    <w:rsid w:val="00BD0D18"/>
    <w:rsid w:val="00BD0DF9"/>
    <w:rsid w:val="00BD0EEC"/>
    <w:rsid w:val="00BD0F3D"/>
    <w:rsid w:val="00BD129B"/>
    <w:rsid w:val="00BD12BB"/>
    <w:rsid w:val="00BD1347"/>
    <w:rsid w:val="00BD1427"/>
    <w:rsid w:val="00BD14AD"/>
    <w:rsid w:val="00BD1684"/>
    <w:rsid w:val="00BD16DB"/>
    <w:rsid w:val="00BD18DA"/>
    <w:rsid w:val="00BD1A55"/>
    <w:rsid w:val="00BD1BA4"/>
    <w:rsid w:val="00BD1D62"/>
    <w:rsid w:val="00BD1D9C"/>
    <w:rsid w:val="00BD1DFF"/>
    <w:rsid w:val="00BD1E2A"/>
    <w:rsid w:val="00BD1ED6"/>
    <w:rsid w:val="00BD1F27"/>
    <w:rsid w:val="00BD210E"/>
    <w:rsid w:val="00BD212A"/>
    <w:rsid w:val="00BD22A7"/>
    <w:rsid w:val="00BD22B6"/>
    <w:rsid w:val="00BD2362"/>
    <w:rsid w:val="00BD2390"/>
    <w:rsid w:val="00BD242B"/>
    <w:rsid w:val="00BD26A4"/>
    <w:rsid w:val="00BD26BC"/>
    <w:rsid w:val="00BD290F"/>
    <w:rsid w:val="00BD2A35"/>
    <w:rsid w:val="00BD2E10"/>
    <w:rsid w:val="00BD2E5E"/>
    <w:rsid w:val="00BD2FB3"/>
    <w:rsid w:val="00BD3386"/>
    <w:rsid w:val="00BD351A"/>
    <w:rsid w:val="00BD3548"/>
    <w:rsid w:val="00BD3585"/>
    <w:rsid w:val="00BD3745"/>
    <w:rsid w:val="00BD37FD"/>
    <w:rsid w:val="00BD389B"/>
    <w:rsid w:val="00BD3A89"/>
    <w:rsid w:val="00BD3BF4"/>
    <w:rsid w:val="00BD3C53"/>
    <w:rsid w:val="00BD3F42"/>
    <w:rsid w:val="00BD3F7C"/>
    <w:rsid w:val="00BD40DB"/>
    <w:rsid w:val="00BD4142"/>
    <w:rsid w:val="00BD42F2"/>
    <w:rsid w:val="00BD434E"/>
    <w:rsid w:val="00BD456C"/>
    <w:rsid w:val="00BD49DB"/>
    <w:rsid w:val="00BD4A66"/>
    <w:rsid w:val="00BD4B19"/>
    <w:rsid w:val="00BD4B7D"/>
    <w:rsid w:val="00BD4BE1"/>
    <w:rsid w:val="00BD4C63"/>
    <w:rsid w:val="00BD4C70"/>
    <w:rsid w:val="00BD4CC7"/>
    <w:rsid w:val="00BD4D41"/>
    <w:rsid w:val="00BD51EF"/>
    <w:rsid w:val="00BD53EE"/>
    <w:rsid w:val="00BD54E1"/>
    <w:rsid w:val="00BD5639"/>
    <w:rsid w:val="00BD5CF9"/>
    <w:rsid w:val="00BD6242"/>
    <w:rsid w:val="00BD62F1"/>
    <w:rsid w:val="00BD6723"/>
    <w:rsid w:val="00BD688F"/>
    <w:rsid w:val="00BD689E"/>
    <w:rsid w:val="00BD6991"/>
    <w:rsid w:val="00BD6A1A"/>
    <w:rsid w:val="00BD6CBB"/>
    <w:rsid w:val="00BD6CFA"/>
    <w:rsid w:val="00BD6F35"/>
    <w:rsid w:val="00BD6FEF"/>
    <w:rsid w:val="00BD701C"/>
    <w:rsid w:val="00BD762B"/>
    <w:rsid w:val="00BD7669"/>
    <w:rsid w:val="00BD772F"/>
    <w:rsid w:val="00BD77A6"/>
    <w:rsid w:val="00BD77D8"/>
    <w:rsid w:val="00BD7852"/>
    <w:rsid w:val="00BD79D7"/>
    <w:rsid w:val="00BD7B3A"/>
    <w:rsid w:val="00BD7BB7"/>
    <w:rsid w:val="00BD7D77"/>
    <w:rsid w:val="00BD7ED1"/>
    <w:rsid w:val="00BE007B"/>
    <w:rsid w:val="00BE01B1"/>
    <w:rsid w:val="00BE031E"/>
    <w:rsid w:val="00BE038F"/>
    <w:rsid w:val="00BE03B2"/>
    <w:rsid w:val="00BE0532"/>
    <w:rsid w:val="00BE06CD"/>
    <w:rsid w:val="00BE09B0"/>
    <w:rsid w:val="00BE0CD3"/>
    <w:rsid w:val="00BE0D3D"/>
    <w:rsid w:val="00BE0D4C"/>
    <w:rsid w:val="00BE0D5C"/>
    <w:rsid w:val="00BE0FCF"/>
    <w:rsid w:val="00BE11AD"/>
    <w:rsid w:val="00BE1301"/>
    <w:rsid w:val="00BE151B"/>
    <w:rsid w:val="00BE1621"/>
    <w:rsid w:val="00BE17BD"/>
    <w:rsid w:val="00BE18C7"/>
    <w:rsid w:val="00BE1B69"/>
    <w:rsid w:val="00BE1BCD"/>
    <w:rsid w:val="00BE1D6A"/>
    <w:rsid w:val="00BE1D6B"/>
    <w:rsid w:val="00BE1D89"/>
    <w:rsid w:val="00BE1F8E"/>
    <w:rsid w:val="00BE239F"/>
    <w:rsid w:val="00BE23AA"/>
    <w:rsid w:val="00BE24BB"/>
    <w:rsid w:val="00BE279E"/>
    <w:rsid w:val="00BE295C"/>
    <w:rsid w:val="00BE2A3D"/>
    <w:rsid w:val="00BE2BE6"/>
    <w:rsid w:val="00BE2D60"/>
    <w:rsid w:val="00BE2E7F"/>
    <w:rsid w:val="00BE2EC4"/>
    <w:rsid w:val="00BE3204"/>
    <w:rsid w:val="00BE321A"/>
    <w:rsid w:val="00BE3295"/>
    <w:rsid w:val="00BE32DE"/>
    <w:rsid w:val="00BE3347"/>
    <w:rsid w:val="00BE358F"/>
    <w:rsid w:val="00BE3704"/>
    <w:rsid w:val="00BE38F4"/>
    <w:rsid w:val="00BE3CEF"/>
    <w:rsid w:val="00BE4185"/>
    <w:rsid w:val="00BE41BA"/>
    <w:rsid w:val="00BE42CB"/>
    <w:rsid w:val="00BE43C6"/>
    <w:rsid w:val="00BE44B8"/>
    <w:rsid w:val="00BE46E5"/>
    <w:rsid w:val="00BE471F"/>
    <w:rsid w:val="00BE4720"/>
    <w:rsid w:val="00BE4813"/>
    <w:rsid w:val="00BE4868"/>
    <w:rsid w:val="00BE4922"/>
    <w:rsid w:val="00BE4E52"/>
    <w:rsid w:val="00BE50D3"/>
    <w:rsid w:val="00BE519D"/>
    <w:rsid w:val="00BE51F9"/>
    <w:rsid w:val="00BE522F"/>
    <w:rsid w:val="00BE52E9"/>
    <w:rsid w:val="00BE5310"/>
    <w:rsid w:val="00BE551E"/>
    <w:rsid w:val="00BE56A9"/>
    <w:rsid w:val="00BE579A"/>
    <w:rsid w:val="00BE5BA7"/>
    <w:rsid w:val="00BE5D77"/>
    <w:rsid w:val="00BE6004"/>
    <w:rsid w:val="00BE64D5"/>
    <w:rsid w:val="00BE6658"/>
    <w:rsid w:val="00BE68DD"/>
    <w:rsid w:val="00BE69E4"/>
    <w:rsid w:val="00BE6AAB"/>
    <w:rsid w:val="00BE6B81"/>
    <w:rsid w:val="00BE6C04"/>
    <w:rsid w:val="00BE6D53"/>
    <w:rsid w:val="00BE7206"/>
    <w:rsid w:val="00BE72E8"/>
    <w:rsid w:val="00BE7333"/>
    <w:rsid w:val="00BE7454"/>
    <w:rsid w:val="00BE74F5"/>
    <w:rsid w:val="00BE767A"/>
    <w:rsid w:val="00BE78D6"/>
    <w:rsid w:val="00BE79DE"/>
    <w:rsid w:val="00BE7AFD"/>
    <w:rsid w:val="00BE7BDE"/>
    <w:rsid w:val="00BE7DD5"/>
    <w:rsid w:val="00BE7E99"/>
    <w:rsid w:val="00BE7FE8"/>
    <w:rsid w:val="00BF0235"/>
    <w:rsid w:val="00BF0374"/>
    <w:rsid w:val="00BF059A"/>
    <w:rsid w:val="00BF0657"/>
    <w:rsid w:val="00BF0704"/>
    <w:rsid w:val="00BF0CA7"/>
    <w:rsid w:val="00BF0CB1"/>
    <w:rsid w:val="00BF0CC5"/>
    <w:rsid w:val="00BF0F0F"/>
    <w:rsid w:val="00BF0F5F"/>
    <w:rsid w:val="00BF0F70"/>
    <w:rsid w:val="00BF0F9B"/>
    <w:rsid w:val="00BF1179"/>
    <w:rsid w:val="00BF11A1"/>
    <w:rsid w:val="00BF136B"/>
    <w:rsid w:val="00BF13BA"/>
    <w:rsid w:val="00BF1408"/>
    <w:rsid w:val="00BF1612"/>
    <w:rsid w:val="00BF173F"/>
    <w:rsid w:val="00BF1924"/>
    <w:rsid w:val="00BF1931"/>
    <w:rsid w:val="00BF1967"/>
    <w:rsid w:val="00BF196F"/>
    <w:rsid w:val="00BF1A45"/>
    <w:rsid w:val="00BF1B3E"/>
    <w:rsid w:val="00BF1BF1"/>
    <w:rsid w:val="00BF1F8F"/>
    <w:rsid w:val="00BF2488"/>
    <w:rsid w:val="00BF2544"/>
    <w:rsid w:val="00BF278F"/>
    <w:rsid w:val="00BF2D93"/>
    <w:rsid w:val="00BF2E98"/>
    <w:rsid w:val="00BF2E9D"/>
    <w:rsid w:val="00BF30A6"/>
    <w:rsid w:val="00BF3529"/>
    <w:rsid w:val="00BF36D5"/>
    <w:rsid w:val="00BF3736"/>
    <w:rsid w:val="00BF381B"/>
    <w:rsid w:val="00BF3D8C"/>
    <w:rsid w:val="00BF3E30"/>
    <w:rsid w:val="00BF3EFB"/>
    <w:rsid w:val="00BF3FA4"/>
    <w:rsid w:val="00BF3FEB"/>
    <w:rsid w:val="00BF404B"/>
    <w:rsid w:val="00BF4140"/>
    <w:rsid w:val="00BF414C"/>
    <w:rsid w:val="00BF45D2"/>
    <w:rsid w:val="00BF4A09"/>
    <w:rsid w:val="00BF4C93"/>
    <w:rsid w:val="00BF50FA"/>
    <w:rsid w:val="00BF51DA"/>
    <w:rsid w:val="00BF547D"/>
    <w:rsid w:val="00BF5576"/>
    <w:rsid w:val="00BF56A4"/>
    <w:rsid w:val="00BF56FC"/>
    <w:rsid w:val="00BF572F"/>
    <w:rsid w:val="00BF57BF"/>
    <w:rsid w:val="00BF5C42"/>
    <w:rsid w:val="00BF5D47"/>
    <w:rsid w:val="00BF5D51"/>
    <w:rsid w:val="00BF5D9F"/>
    <w:rsid w:val="00BF5F96"/>
    <w:rsid w:val="00BF601B"/>
    <w:rsid w:val="00BF62E2"/>
    <w:rsid w:val="00BF62ED"/>
    <w:rsid w:val="00BF63CC"/>
    <w:rsid w:val="00BF6867"/>
    <w:rsid w:val="00BF6AFA"/>
    <w:rsid w:val="00BF6B09"/>
    <w:rsid w:val="00BF6BA8"/>
    <w:rsid w:val="00BF6CC2"/>
    <w:rsid w:val="00BF6D58"/>
    <w:rsid w:val="00BF6E06"/>
    <w:rsid w:val="00BF7089"/>
    <w:rsid w:val="00BF7268"/>
    <w:rsid w:val="00BF731D"/>
    <w:rsid w:val="00BF7712"/>
    <w:rsid w:val="00BF77F4"/>
    <w:rsid w:val="00BF7809"/>
    <w:rsid w:val="00BF7899"/>
    <w:rsid w:val="00BF7A38"/>
    <w:rsid w:val="00BF7AA4"/>
    <w:rsid w:val="00BF7C10"/>
    <w:rsid w:val="00BF7CE2"/>
    <w:rsid w:val="00BF7D8F"/>
    <w:rsid w:val="00BF7E54"/>
    <w:rsid w:val="00BF7E96"/>
    <w:rsid w:val="00C00007"/>
    <w:rsid w:val="00C000FC"/>
    <w:rsid w:val="00C0067A"/>
    <w:rsid w:val="00C007B8"/>
    <w:rsid w:val="00C00803"/>
    <w:rsid w:val="00C00822"/>
    <w:rsid w:val="00C00831"/>
    <w:rsid w:val="00C0085C"/>
    <w:rsid w:val="00C008F3"/>
    <w:rsid w:val="00C00B53"/>
    <w:rsid w:val="00C00C47"/>
    <w:rsid w:val="00C00CCF"/>
    <w:rsid w:val="00C00D67"/>
    <w:rsid w:val="00C00DF7"/>
    <w:rsid w:val="00C00E08"/>
    <w:rsid w:val="00C00E22"/>
    <w:rsid w:val="00C01052"/>
    <w:rsid w:val="00C0109F"/>
    <w:rsid w:val="00C01144"/>
    <w:rsid w:val="00C011A9"/>
    <w:rsid w:val="00C013E1"/>
    <w:rsid w:val="00C017F0"/>
    <w:rsid w:val="00C0187F"/>
    <w:rsid w:val="00C01A94"/>
    <w:rsid w:val="00C01ABE"/>
    <w:rsid w:val="00C01BA1"/>
    <w:rsid w:val="00C01D3D"/>
    <w:rsid w:val="00C01E28"/>
    <w:rsid w:val="00C020A6"/>
    <w:rsid w:val="00C0210B"/>
    <w:rsid w:val="00C022B1"/>
    <w:rsid w:val="00C025CF"/>
    <w:rsid w:val="00C02A95"/>
    <w:rsid w:val="00C02C23"/>
    <w:rsid w:val="00C02C43"/>
    <w:rsid w:val="00C02E5E"/>
    <w:rsid w:val="00C02F80"/>
    <w:rsid w:val="00C03120"/>
    <w:rsid w:val="00C03581"/>
    <w:rsid w:val="00C036C1"/>
    <w:rsid w:val="00C037CB"/>
    <w:rsid w:val="00C03E02"/>
    <w:rsid w:val="00C03ED5"/>
    <w:rsid w:val="00C04144"/>
    <w:rsid w:val="00C04195"/>
    <w:rsid w:val="00C04197"/>
    <w:rsid w:val="00C0432D"/>
    <w:rsid w:val="00C045A9"/>
    <w:rsid w:val="00C045E5"/>
    <w:rsid w:val="00C04626"/>
    <w:rsid w:val="00C04899"/>
    <w:rsid w:val="00C04953"/>
    <w:rsid w:val="00C04A3C"/>
    <w:rsid w:val="00C04C02"/>
    <w:rsid w:val="00C04E9F"/>
    <w:rsid w:val="00C05180"/>
    <w:rsid w:val="00C052EE"/>
    <w:rsid w:val="00C05709"/>
    <w:rsid w:val="00C058A9"/>
    <w:rsid w:val="00C058D9"/>
    <w:rsid w:val="00C0596A"/>
    <w:rsid w:val="00C059B5"/>
    <w:rsid w:val="00C05AE0"/>
    <w:rsid w:val="00C05BC1"/>
    <w:rsid w:val="00C05C7D"/>
    <w:rsid w:val="00C05D59"/>
    <w:rsid w:val="00C05DEA"/>
    <w:rsid w:val="00C060C1"/>
    <w:rsid w:val="00C061E8"/>
    <w:rsid w:val="00C0624E"/>
    <w:rsid w:val="00C06306"/>
    <w:rsid w:val="00C06361"/>
    <w:rsid w:val="00C064EC"/>
    <w:rsid w:val="00C065EC"/>
    <w:rsid w:val="00C0698B"/>
    <w:rsid w:val="00C06A27"/>
    <w:rsid w:val="00C06B8B"/>
    <w:rsid w:val="00C06BBE"/>
    <w:rsid w:val="00C06C0C"/>
    <w:rsid w:val="00C06C50"/>
    <w:rsid w:val="00C06CEA"/>
    <w:rsid w:val="00C0734A"/>
    <w:rsid w:val="00C073C3"/>
    <w:rsid w:val="00C075C9"/>
    <w:rsid w:val="00C077C3"/>
    <w:rsid w:val="00C078AF"/>
    <w:rsid w:val="00C0796D"/>
    <w:rsid w:val="00C07B4C"/>
    <w:rsid w:val="00C07B53"/>
    <w:rsid w:val="00C07B6C"/>
    <w:rsid w:val="00C07B9B"/>
    <w:rsid w:val="00C07C64"/>
    <w:rsid w:val="00C07E9C"/>
    <w:rsid w:val="00C07F5C"/>
    <w:rsid w:val="00C07FC2"/>
    <w:rsid w:val="00C1009A"/>
    <w:rsid w:val="00C101A8"/>
    <w:rsid w:val="00C10295"/>
    <w:rsid w:val="00C10468"/>
    <w:rsid w:val="00C10654"/>
    <w:rsid w:val="00C109DF"/>
    <w:rsid w:val="00C109F8"/>
    <w:rsid w:val="00C10AFE"/>
    <w:rsid w:val="00C10B36"/>
    <w:rsid w:val="00C10D8F"/>
    <w:rsid w:val="00C10F45"/>
    <w:rsid w:val="00C10F8B"/>
    <w:rsid w:val="00C11203"/>
    <w:rsid w:val="00C112E3"/>
    <w:rsid w:val="00C113D7"/>
    <w:rsid w:val="00C11531"/>
    <w:rsid w:val="00C11903"/>
    <w:rsid w:val="00C11DC5"/>
    <w:rsid w:val="00C12087"/>
    <w:rsid w:val="00C12339"/>
    <w:rsid w:val="00C123AC"/>
    <w:rsid w:val="00C124CB"/>
    <w:rsid w:val="00C12604"/>
    <w:rsid w:val="00C12684"/>
    <w:rsid w:val="00C12844"/>
    <w:rsid w:val="00C12A42"/>
    <w:rsid w:val="00C12A4A"/>
    <w:rsid w:val="00C12C88"/>
    <w:rsid w:val="00C12D3D"/>
    <w:rsid w:val="00C12EC0"/>
    <w:rsid w:val="00C12FB8"/>
    <w:rsid w:val="00C13169"/>
    <w:rsid w:val="00C13333"/>
    <w:rsid w:val="00C133EC"/>
    <w:rsid w:val="00C13537"/>
    <w:rsid w:val="00C13594"/>
    <w:rsid w:val="00C135DC"/>
    <w:rsid w:val="00C1368E"/>
    <w:rsid w:val="00C13718"/>
    <w:rsid w:val="00C1374B"/>
    <w:rsid w:val="00C13882"/>
    <w:rsid w:val="00C138AE"/>
    <w:rsid w:val="00C138EE"/>
    <w:rsid w:val="00C13B28"/>
    <w:rsid w:val="00C13CF8"/>
    <w:rsid w:val="00C13E06"/>
    <w:rsid w:val="00C13F42"/>
    <w:rsid w:val="00C140FF"/>
    <w:rsid w:val="00C14144"/>
    <w:rsid w:val="00C14254"/>
    <w:rsid w:val="00C1452D"/>
    <w:rsid w:val="00C1467C"/>
    <w:rsid w:val="00C14BEE"/>
    <w:rsid w:val="00C14C36"/>
    <w:rsid w:val="00C14D31"/>
    <w:rsid w:val="00C14F71"/>
    <w:rsid w:val="00C14F77"/>
    <w:rsid w:val="00C151F3"/>
    <w:rsid w:val="00C1540E"/>
    <w:rsid w:val="00C154F4"/>
    <w:rsid w:val="00C1555D"/>
    <w:rsid w:val="00C155D8"/>
    <w:rsid w:val="00C15838"/>
    <w:rsid w:val="00C158DB"/>
    <w:rsid w:val="00C15A40"/>
    <w:rsid w:val="00C15D7A"/>
    <w:rsid w:val="00C15DA2"/>
    <w:rsid w:val="00C15F7C"/>
    <w:rsid w:val="00C15F97"/>
    <w:rsid w:val="00C16025"/>
    <w:rsid w:val="00C1618E"/>
    <w:rsid w:val="00C1634A"/>
    <w:rsid w:val="00C1654D"/>
    <w:rsid w:val="00C1660F"/>
    <w:rsid w:val="00C16AD3"/>
    <w:rsid w:val="00C16B5F"/>
    <w:rsid w:val="00C16C2D"/>
    <w:rsid w:val="00C16E44"/>
    <w:rsid w:val="00C170F2"/>
    <w:rsid w:val="00C17110"/>
    <w:rsid w:val="00C17303"/>
    <w:rsid w:val="00C1733B"/>
    <w:rsid w:val="00C173AE"/>
    <w:rsid w:val="00C173B2"/>
    <w:rsid w:val="00C17917"/>
    <w:rsid w:val="00C179C4"/>
    <w:rsid w:val="00C17ACF"/>
    <w:rsid w:val="00C17B17"/>
    <w:rsid w:val="00C17C04"/>
    <w:rsid w:val="00C17E2C"/>
    <w:rsid w:val="00C17EE2"/>
    <w:rsid w:val="00C20120"/>
    <w:rsid w:val="00C20159"/>
    <w:rsid w:val="00C203A4"/>
    <w:rsid w:val="00C203C0"/>
    <w:rsid w:val="00C20411"/>
    <w:rsid w:val="00C2053F"/>
    <w:rsid w:val="00C2059F"/>
    <w:rsid w:val="00C2065B"/>
    <w:rsid w:val="00C2070D"/>
    <w:rsid w:val="00C2092B"/>
    <w:rsid w:val="00C20A93"/>
    <w:rsid w:val="00C20BF5"/>
    <w:rsid w:val="00C20F7F"/>
    <w:rsid w:val="00C20F88"/>
    <w:rsid w:val="00C210BB"/>
    <w:rsid w:val="00C211FF"/>
    <w:rsid w:val="00C2129F"/>
    <w:rsid w:val="00C213C2"/>
    <w:rsid w:val="00C213C3"/>
    <w:rsid w:val="00C21480"/>
    <w:rsid w:val="00C21987"/>
    <w:rsid w:val="00C21A1E"/>
    <w:rsid w:val="00C21A9D"/>
    <w:rsid w:val="00C21ADA"/>
    <w:rsid w:val="00C21EB5"/>
    <w:rsid w:val="00C21EFC"/>
    <w:rsid w:val="00C21F08"/>
    <w:rsid w:val="00C2211B"/>
    <w:rsid w:val="00C22378"/>
    <w:rsid w:val="00C22576"/>
    <w:rsid w:val="00C226B6"/>
    <w:rsid w:val="00C22815"/>
    <w:rsid w:val="00C22864"/>
    <w:rsid w:val="00C22A4F"/>
    <w:rsid w:val="00C22AD9"/>
    <w:rsid w:val="00C22C00"/>
    <w:rsid w:val="00C22C0F"/>
    <w:rsid w:val="00C22CBC"/>
    <w:rsid w:val="00C22D1B"/>
    <w:rsid w:val="00C22D6D"/>
    <w:rsid w:val="00C22DFF"/>
    <w:rsid w:val="00C22EC8"/>
    <w:rsid w:val="00C23169"/>
    <w:rsid w:val="00C232DE"/>
    <w:rsid w:val="00C2335E"/>
    <w:rsid w:val="00C233BB"/>
    <w:rsid w:val="00C234BA"/>
    <w:rsid w:val="00C23552"/>
    <w:rsid w:val="00C236DE"/>
    <w:rsid w:val="00C2377B"/>
    <w:rsid w:val="00C23887"/>
    <w:rsid w:val="00C23982"/>
    <w:rsid w:val="00C23A1E"/>
    <w:rsid w:val="00C23ABE"/>
    <w:rsid w:val="00C23BB5"/>
    <w:rsid w:val="00C23EEA"/>
    <w:rsid w:val="00C24105"/>
    <w:rsid w:val="00C241EE"/>
    <w:rsid w:val="00C2425E"/>
    <w:rsid w:val="00C24668"/>
    <w:rsid w:val="00C24710"/>
    <w:rsid w:val="00C24722"/>
    <w:rsid w:val="00C24844"/>
    <w:rsid w:val="00C248D3"/>
    <w:rsid w:val="00C2493C"/>
    <w:rsid w:val="00C24A49"/>
    <w:rsid w:val="00C24C33"/>
    <w:rsid w:val="00C25106"/>
    <w:rsid w:val="00C254B3"/>
    <w:rsid w:val="00C25797"/>
    <w:rsid w:val="00C2585A"/>
    <w:rsid w:val="00C2588E"/>
    <w:rsid w:val="00C25AA6"/>
    <w:rsid w:val="00C25AED"/>
    <w:rsid w:val="00C25D50"/>
    <w:rsid w:val="00C2619B"/>
    <w:rsid w:val="00C26384"/>
    <w:rsid w:val="00C26561"/>
    <w:rsid w:val="00C26600"/>
    <w:rsid w:val="00C266F6"/>
    <w:rsid w:val="00C26820"/>
    <w:rsid w:val="00C269CF"/>
    <w:rsid w:val="00C26A01"/>
    <w:rsid w:val="00C26A40"/>
    <w:rsid w:val="00C26EBF"/>
    <w:rsid w:val="00C27080"/>
    <w:rsid w:val="00C270AA"/>
    <w:rsid w:val="00C27565"/>
    <w:rsid w:val="00C27751"/>
    <w:rsid w:val="00C278BA"/>
    <w:rsid w:val="00C27926"/>
    <w:rsid w:val="00C27A16"/>
    <w:rsid w:val="00C27E16"/>
    <w:rsid w:val="00C27E63"/>
    <w:rsid w:val="00C302AF"/>
    <w:rsid w:val="00C30421"/>
    <w:rsid w:val="00C305D5"/>
    <w:rsid w:val="00C30759"/>
    <w:rsid w:val="00C30769"/>
    <w:rsid w:val="00C30857"/>
    <w:rsid w:val="00C30A3C"/>
    <w:rsid w:val="00C30B46"/>
    <w:rsid w:val="00C30CFD"/>
    <w:rsid w:val="00C30D20"/>
    <w:rsid w:val="00C30DF9"/>
    <w:rsid w:val="00C3143E"/>
    <w:rsid w:val="00C31499"/>
    <w:rsid w:val="00C3160F"/>
    <w:rsid w:val="00C3166F"/>
    <w:rsid w:val="00C31940"/>
    <w:rsid w:val="00C31A49"/>
    <w:rsid w:val="00C31AB9"/>
    <w:rsid w:val="00C31BED"/>
    <w:rsid w:val="00C31C8F"/>
    <w:rsid w:val="00C31E28"/>
    <w:rsid w:val="00C31EB6"/>
    <w:rsid w:val="00C32047"/>
    <w:rsid w:val="00C32067"/>
    <w:rsid w:val="00C3217C"/>
    <w:rsid w:val="00C3217E"/>
    <w:rsid w:val="00C3232F"/>
    <w:rsid w:val="00C3240B"/>
    <w:rsid w:val="00C3282B"/>
    <w:rsid w:val="00C32891"/>
    <w:rsid w:val="00C328BF"/>
    <w:rsid w:val="00C328CD"/>
    <w:rsid w:val="00C32DB1"/>
    <w:rsid w:val="00C32E9A"/>
    <w:rsid w:val="00C32EFD"/>
    <w:rsid w:val="00C32FCB"/>
    <w:rsid w:val="00C331FA"/>
    <w:rsid w:val="00C3321D"/>
    <w:rsid w:val="00C33291"/>
    <w:rsid w:val="00C333DD"/>
    <w:rsid w:val="00C333F5"/>
    <w:rsid w:val="00C33447"/>
    <w:rsid w:val="00C33496"/>
    <w:rsid w:val="00C335D7"/>
    <w:rsid w:val="00C33621"/>
    <w:rsid w:val="00C3366D"/>
    <w:rsid w:val="00C33A88"/>
    <w:rsid w:val="00C33AAC"/>
    <w:rsid w:val="00C33DFE"/>
    <w:rsid w:val="00C33F20"/>
    <w:rsid w:val="00C3404C"/>
    <w:rsid w:val="00C34277"/>
    <w:rsid w:val="00C34669"/>
    <w:rsid w:val="00C3477B"/>
    <w:rsid w:val="00C34B2D"/>
    <w:rsid w:val="00C34B42"/>
    <w:rsid w:val="00C34C28"/>
    <w:rsid w:val="00C34CFD"/>
    <w:rsid w:val="00C34EFF"/>
    <w:rsid w:val="00C35341"/>
    <w:rsid w:val="00C35349"/>
    <w:rsid w:val="00C354FA"/>
    <w:rsid w:val="00C355E0"/>
    <w:rsid w:val="00C355EC"/>
    <w:rsid w:val="00C35616"/>
    <w:rsid w:val="00C35645"/>
    <w:rsid w:val="00C35742"/>
    <w:rsid w:val="00C357DC"/>
    <w:rsid w:val="00C358AF"/>
    <w:rsid w:val="00C35A01"/>
    <w:rsid w:val="00C35B38"/>
    <w:rsid w:val="00C35C71"/>
    <w:rsid w:val="00C35C87"/>
    <w:rsid w:val="00C35DED"/>
    <w:rsid w:val="00C36170"/>
    <w:rsid w:val="00C361C9"/>
    <w:rsid w:val="00C363B9"/>
    <w:rsid w:val="00C364E9"/>
    <w:rsid w:val="00C36718"/>
    <w:rsid w:val="00C36854"/>
    <w:rsid w:val="00C36A03"/>
    <w:rsid w:val="00C36D1B"/>
    <w:rsid w:val="00C36D5E"/>
    <w:rsid w:val="00C36E07"/>
    <w:rsid w:val="00C36F0D"/>
    <w:rsid w:val="00C37070"/>
    <w:rsid w:val="00C3721F"/>
    <w:rsid w:val="00C3725E"/>
    <w:rsid w:val="00C37306"/>
    <w:rsid w:val="00C374CE"/>
    <w:rsid w:val="00C37514"/>
    <w:rsid w:val="00C376DF"/>
    <w:rsid w:val="00C37738"/>
    <w:rsid w:val="00C37823"/>
    <w:rsid w:val="00C37B8D"/>
    <w:rsid w:val="00C37CE4"/>
    <w:rsid w:val="00C37D2B"/>
    <w:rsid w:val="00C37F34"/>
    <w:rsid w:val="00C37FC2"/>
    <w:rsid w:val="00C4001C"/>
    <w:rsid w:val="00C400FC"/>
    <w:rsid w:val="00C4012D"/>
    <w:rsid w:val="00C40189"/>
    <w:rsid w:val="00C4020B"/>
    <w:rsid w:val="00C4061A"/>
    <w:rsid w:val="00C4067E"/>
    <w:rsid w:val="00C40689"/>
    <w:rsid w:val="00C407F9"/>
    <w:rsid w:val="00C40979"/>
    <w:rsid w:val="00C409FB"/>
    <w:rsid w:val="00C40A42"/>
    <w:rsid w:val="00C40AAE"/>
    <w:rsid w:val="00C40B04"/>
    <w:rsid w:val="00C40BC3"/>
    <w:rsid w:val="00C41048"/>
    <w:rsid w:val="00C411A8"/>
    <w:rsid w:val="00C412AB"/>
    <w:rsid w:val="00C41439"/>
    <w:rsid w:val="00C4151A"/>
    <w:rsid w:val="00C41631"/>
    <w:rsid w:val="00C4182A"/>
    <w:rsid w:val="00C4189A"/>
    <w:rsid w:val="00C418E1"/>
    <w:rsid w:val="00C41CA4"/>
    <w:rsid w:val="00C41D07"/>
    <w:rsid w:val="00C41F91"/>
    <w:rsid w:val="00C4203D"/>
    <w:rsid w:val="00C42380"/>
    <w:rsid w:val="00C4277A"/>
    <w:rsid w:val="00C427B4"/>
    <w:rsid w:val="00C427F6"/>
    <w:rsid w:val="00C429CE"/>
    <w:rsid w:val="00C429FC"/>
    <w:rsid w:val="00C42A8D"/>
    <w:rsid w:val="00C42AC1"/>
    <w:rsid w:val="00C42C18"/>
    <w:rsid w:val="00C42CD7"/>
    <w:rsid w:val="00C42D73"/>
    <w:rsid w:val="00C42DEF"/>
    <w:rsid w:val="00C42E88"/>
    <w:rsid w:val="00C42ECE"/>
    <w:rsid w:val="00C42FDE"/>
    <w:rsid w:val="00C4328B"/>
    <w:rsid w:val="00C43455"/>
    <w:rsid w:val="00C43617"/>
    <w:rsid w:val="00C43995"/>
    <w:rsid w:val="00C439A6"/>
    <w:rsid w:val="00C43D10"/>
    <w:rsid w:val="00C440D0"/>
    <w:rsid w:val="00C44115"/>
    <w:rsid w:val="00C44516"/>
    <w:rsid w:val="00C445A8"/>
    <w:rsid w:val="00C445E7"/>
    <w:rsid w:val="00C4460E"/>
    <w:rsid w:val="00C44796"/>
    <w:rsid w:val="00C44A58"/>
    <w:rsid w:val="00C44B4E"/>
    <w:rsid w:val="00C44D40"/>
    <w:rsid w:val="00C45022"/>
    <w:rsid w:val="00C45250"/>
    <w:rsid w:val="00C4530D"/>
    <w:rsid w:val="00C45348"/>
    <w:rsid w:val="00C453DB"/>
    <w:rsid w:val="00C45671"/>
    <w:rsid w:val="00C456C9"/>
    <w:rsid w:val="00C457DC"/>
    <w:rsid w:val="00C45870"/>
    <w:rsid w:val="00C45979"/>
    <w:rsid w:val="00C459E1"/>
    <w:rsid w:val="00C45C51"/>
    <w:rsid w:val="00C45D1C"/>
    <w:rsid w:val="00C45D9A"/>
    <w:rsid w:val="00C45E76"/>
    <w:rsid w:val="00C46575"/>
    <w:rsid w:val="00C46667"/>
    <w:rsid w:val="00C468A0"/>
    <w:rsid w:val="00C46979"/>
    <w:rsid w:val="00C46ABC"/>
    <w:rsid w:val="00C46B88"/>
    <w:rsid w:val="00C46DF9"/>
    <w:rsid w:val="00C46E2D"/>
    <w:rsid w:val="00C4701B"/>
    <w:rsid w:val="00C4702E"/>
    <w:rsid w:val="00C470E7"/>
    <w:rsid w:val="00C47201"/>
    <w:rsid w:val="00C4738B"/>
    <w:rsid w:val="00C474B3"/>
    <w:rsid w:val="00C475E3"/>
    <w:rsid w:val="00C477B6"/>
    <w:rsid w:val="00C4795B"/>
    <w:rsid w:val="00C47A36"/>
    <w:rsid w:val="00C47B02"/>
    <w:rsid w:val="00C47C15"/>
    <w:rsid w:val="00C47D1B"/>
    <w:rsid w:val="00C47D8A"/>
    <w:rsid w:val="00C47E7D"/>
    <w:rsid w:val="00C500BB"/>
    <w:rsid w:val="00C502C4"/>
    <w:rsid w:val="00C50B8B"/>
    <w:rsid w:val="00C50C9F"/>
    <w:rsid w:val="00C50E17"/>
    <w:rsid w:val="00C50E6A"/>
    <w:rsid w:val="00C51047"/>
    <w:rsid w:val="00C510C2"/>
    <w:rsid w:val="00C51111"/>
    <w:rsid w:val="00C5116B"/>
    <w:rsid w:val="00C514BD"/>
    <w:rsid w:val="00C515E8"/>
    <w:rsid w:val="00C5169C"/>
    <w:rsid w:val="00C516EB"/>
    <w:rsid w:val="00C5173A"/>
    <w:rsid w:val="00C518B3"/>
    <w:rsid w:val="00C518C3"/>
    <w:rsid w:val="00C51929"/>
    <w:rsid w:val="00C51F1C"/>
    <w:rsid w:val="00C51FBA"/>
    <w:rsid w:val="00C52080"/>
    <w:rsid w:val="00C520D1"/>
    <w:rsid w:val="00C520D8"/>
    <w:rsid w:val="00C52115"/>
    <w:rsid w:val="00C52135"/>
    <w:rsid w:val="00C52143"/>
    <w:rsid w:val="00C5250A"/>
    <w:rsid w:val="00C52513"/>
    <w:rsid w:val="00C5254B"/>
    <w:rsid w:val="00C52590"/>
    <w:rsid w:val="00C525B9"/>
    <w:rsid w:val="00C5291E"/>
    <w:rsid w:val="00C5295D"/>
    <w:rsid w:val="00C529B7"/>
    <w:rsid w:val="00C52B6E"/>
    <w:rsid w:val="00C52B8C"/>
    <w:rsid w:val="00C52D6D"/>
    <w:rsid w:val="00C52FEE"/>
    <w:rsid w:val="00C53016"/>
    <w:rsid w:val="00C53276"/>
    <w:rsid w:val="00C534F8"/>
    <w:rsid w:val="00C535C1"/>
    <w:rsid w:val="00C53604"/>
    <w:rsid w:val="00C53609"/>
    <w:rsid w:val="00C53814"/>
    <w:rsid w:val="00C53891"/>
    <w:rsid w:val="00C53A28"/>
    <w:rsid w:val="00C53C4E"/>
    <w:rsid w:val="00C53F14"/>
    <w:rsid w:val="00C53F35"/>
    <w:rsid w:val="00C542B9"/>
    <w:rsid w:val="00C5449D"/>
    <w:rsid w:val="00C54507"/>
    <w:rsid w:val="00C545A2"/>
    <w:rsid w:val="00C54648"/>
    <w:rsid w:val="00C5477E"/>
    <w:rsid w:val="00C5499F"/>
    <w:rsid w:val="00C54A03"/>
    <w:rsid w:val="00C54B5D"/>
    <w:rsid w:val="00C54B89"/>
    <w:rsid w:val="00C54CB2"/>
    <w:rsid w:val="00C54DCF"/>
    <w:rsid w:val="00C55134"/>
    <w:rsid w:val="00C55354"/>
    <w:rsid w:val="00C55377"/>
    <w:rsid w:val="00C5565B"/>
    <w:rsid w:val="00C556FE"/>
    <w:rsid w:val="00C55AD8"/>
    <w:rsid w:val="00C55B72"/>
    <w:rsid w:val="00C55C58"/>
    <w:rsid w:val="00C55C9D"/>
    <w:rsid w:val="00C55DA7"/>
    <w:rsid w:val="00C55DD7"/>
    <w:rsid w:val="00C55F85"/>
    <w:rsid w:val="00C566EB"/>
    <w:rsid w:val="00C569E6"/>
    <w:rsid w:val="00C56C3B"/>
    <w:rsid w:val="00C56DA2"/>
    <w:rsid w:val="00C57046"/>
    <w:rsid w:val="00C57133"/>
    <w:rsid w:val="00C57272"/>
    <w:rsid w:val="00C57288"/>
    <w:rsid w:val="00C573BF"/>
    <w:rsid w:val="00C574C5"/>
    <w:rsid w:val="00C575D4"/>
    <w:rsid w:val="00C57602"/>
    <w:rsid w:val="00C5778E"/>
    <w:rsid w:val="00C579FC"/>
    <w:rsid w:val="00C57AA4"/>
    <w:rsid w:val="00C57ADC"/>
    <w:rsid w:val="00C57F91"/>
    <w:rsid w:val="00C60006"/>
    <w:rsid w:val="00C600A7"/>
    <w:rsid w:val="00C600AB"/>
    <w:rsid w:val="00C600CE"/>
    <w:rsid w:val="00C6015A"/>
    <w:rsid w:val="00C60218"/>
    <w:rsid w:val="00C60291"/>
    <w:rsid w:val="00C6061F"/>
    <w:rsid w:val="00C60691"/>
    <w:rsid w:val="00C60C1C"/>
    <w:rsid w:val="00C60D70"/>
    <w:rsid w:val="00C60D81"/>
    <w:rsid w:val="00C61143"/>
    <w:rsid w:val="00C61480"/>
    <w:rsid w:val="00C614F9"/>
    <w:rsid w:val="00C61721"/>
    <w:rsid w:val="00C6189B"/>
    <w:rsid w:val="00C61913"/>
    <w:rsid w:val="00C619D0"/>
    <w:rsid w:val="00C61A49"/>
    <w:rsid w:val="00C61AB7"/>
    <w:rsid w:val="00C61B30"/>
    <w:rsid w:val="00C61C71"/>
    <w:rsid w:val="00C61FDE"/>
    <w:rsid w:val="00C620E4"/>
    <w:rsid w:val="00C6219F"/>
    <w:rsid w:val="00C621F5"/>
    <w:rsid w:val="00C6236A"/>
    <w:rsid w:val="00C62384"/>
    <w:rsid w:val="00C624BE"/>
    <w:rsid w:val="00C62534"/>
    <w:rsid w:val="00C6254E"/>
    <w:rsid w:val="00C62593"/>
    <w:rsid w:val="00C628FE"/>
    <w:rsid w:val="00C62AE1"/>
    <w:rsid w:val="00C62B7A"/>
    <w:rsid w:val="00C62BB5"/>
    <w:rsid w:val="00C62C36"/>
    <w:rsid w:val="00C62E05"/>
    <w:rsid w:val="00C62EC0"/>
    <w:rsid w:val="00C62F00"/>
    <w:rsid w:val="00C631D7"/>
    <w:rsid w:val="00C63248"/>
    <w:rsid w:val="00C63379"/>
    <w:rsid w:val="00C635B0"/>
    <w:rsid w:val="00C635D7"/>
    <w:rsid w:val="00C638B3"/>
    <w:rsid w:val="00C63B35"/>
    <w:rsid w:val="00C63B4B"/>
    <w:rsid w:val="00C63DCA"/>
    <w:rsid w:val="00C64017"/>
    <w:rsid w:val="00C6426D"/>
    <w:rsid w:val="00C64504"/>
    <w:rsid w:val="00C64604"/>
    <w:rsid w:val="00C646A4"/>
    <w:rsid w:val="00C64875"/>
    <w:rsid w:val="00C64992"/>
    <w:rsid w:val="00C64AEE"/>
    <w:rsid w:val="00C64FC4"/>
    <w:rsid w:val="00C65061"/>
    <w:rsid w:val="00C65370"/>
    <w:rsid w:val="00C653A0"/>
    <w:rsid w:val="00C65554"/>
    <w:rsid w:val="00C65917"/>
    <w:rsid w:val="00C659AA"/>
    <w:rsid w:val="00C65B34"/>
    <w:rsid w:val="00C65C69"/>
    <w:rsid w:val="00C65CD3"/>
    <w:rsid w:val="00C65CDE"/>
    <w:rsid w:val="00C65D68"/>
    <w:rsid w:val="00C6651C"/>
    <w:rsid w:val="00C66758"/>
    <w:rsid w:val="00C6675B"/>
    <w:rsid w:val="00C668C1"/>
    <w:rsid w:val="00C66970"/>
    <w:rsid w:val="00C66ACE"/>
    <w:rsid w:val="00C66C9B"/>
    <w:rsid w:val="00C66E61"/>
    <w:rsid w:val="00C66E7E"/>
    <w:rsid w:val="00C672E8"/>
    <w:rsid w:val="00C67687"/>
    <w:rsid w:val="00C676D6"/>
    <w:rsid w:val="00C676ED"/>
    <w:rsid w:val="00C6795E"/>
    <w:rsid w:val="00C67CDB"/>
    <w:rsid w:val="00C704F1"/>
    <w:rsid w:val="00C706B8"/>
    <w:rsid w:val="00C70A13"/>
    <w:rsid w:val="00C70BEF"/>
    <w:rsid w:val="00C70CF2"/>
    <w:rsid w:val="00C70FC6"/>
    <w:rsid w:val="00C710F3"/>
    <w:rsid w:val="00C716B1"/>
    <w:rsid w:val="00C71931"/>
    <w:rsid w:val="00C71952"/>
    <w:rsid w:val="00C71CB2"/>
    <w:rsid w:val="00C71DC1"/>
    <w:rsid w:val="00C72217"/>
    <w:rsid w:val="00C722C3"/>
    <w:rsid w:val="00C72435"/>
    <w:rsid w:val="00C724DC"/>
    <w:rsid w:val="00C7260B"/>
    <w:rsid w:val="00C72626"/>
    <w:rsid w:val="00C7277E"/>
    <w:rsid w:val="00C72869"/>
    <w:rsid w:val="00C72A0E"/>
    <w:rsid w:val="00C72AD2"/>
    <w:rsid w:val="00C72D88"/>
    <w:rsid w:val="00C72FC9"/>
    <w:rsid w:val="00C730C1"/>
    <w:rsid w:val="00C7310D"/>
    <w:rsid w:val="00C73135"/>
    <w:rsid w:val="00C7330C"/>
    <w:rsid w:val="00C734F3"/>
    <w:rsid w:val="00C735B4"/>
    <w:rsid w:val="00C736D6"/>
    <w:rsid w:val="00C73BE0"/>
    <w:rsid w:val="00C73D85"/>
    <w:rsid w:val="00C7410E"/>
    <w:rsid w:val="00C74142"/>
    <w:rsid w:val="00C742B4"/>
    <w:rsid w:val="00C74307"/>
    <w:rsid w:val="00C74452"/>
    <w:rsid w:val="00C7448C"/>
    <w:rsid w:val="00C746C1"/>
    <w:rsid w:val="00C74760"/>
    <w:rsid w:val="00C7483A"/>
    <w:rsid w:val="00C7491F"/>
    <w:rsid w:val="00C74A52"/>
    <w:rsid w:val="00C74AA8"/>
    <w:rsid w:val="00C74ACE"/>
    <w:rsid w:val="00C74D7B"/>
    <w:rsid w:val="00C74D95"/>
    <w:rsid w:val="00C74E71"/>
    <w:rsid w:val="00C75017"/>
    <w:rsid w:val="00C7516F"/>
    <w:rsid w:val="00C751BA"/>
    <w:rsid w:val="00C753E2"/>
    <w:rsid w:val="00C754AB"/>
    <w:rsid w:val="00C758E8"/>
    <w:rsid w:val="00C75FB6"/>
    <w:rsid w:val="00C76015"/>
    <w:rsid w:val="00C76077"/>
    <w:rsid w:val="00C7614D"/>
    <w:rsid w:val="00C762E7"/>
    <w:rsid w:val="00C7644F"/>
    <w:rsid w:val="00C765B7"/>
    <w:rsid w:val="00C765FF"/>
    <w:rsid w:val="00C766A4"/>
    <w:rsid w:val="00C76748"/>
    <w:rsid w:val="00C767CC"/>
    <w:rsid w:val="00C76974"/>
    <w:rsid w:val="00C76999"/>
    <w:rsid w:val="00C76A38"/>
    <w:rsid w:val="00C76B6C"/>
    <w:rsid w:val="00C76BF8"/>
    <w:rsid w:val="00C76DB5"/>
    <w:rsid w:val="00C76FD8"/>
    <w:rsid w:val="00C77108"/>
    <w:rsid w:val="00C77321"/>
    <w:rsid w:val="00C77467"/>
    <w:rsid w:val="00C774F5"/>
    <w:rsid w:val="00C77529"/>
    <w:rsid w:val="00C7755E"/>
    <w:rsid w:val="00C77817"/>
    <w:rsid w:val="00C77820"/>
    <w:rsid w:val="00C779F8"/>
    <w:rsid w:val="00C77BC7"/>
    <w:rsid w:val="00C77ED6"/>
    <w:rsid w:val="00C77F72"/>
    <w:rsid w:val="00C80042"/>
    <w:rsid w:val="00C80212"/>
    <w:rsid w:val="00C80251"/>
    <w:rsid w:val="00C80285"/>
    <w:rsid w:val="00C805D0"/>
    <w:rsid w:val="00C80622"/>
    <w:rsid w:val="00C8094E"/>
    <w:rsid w:val="00C80BC3"/>
    <w:rsid w:val="00C80E3C"/>
    <w:rsid w:val="00C813E7"/>
    <w:rsid w:val="00C81438"/>
    <w:rsid w:val="00C8164C"/>
    <w:rsid w:val="00C81857"/>
    <w:rsid w:val="00C81C4B"/>
    <w:rsid w:val="00C81D09"/>
    <w:rsid w:val="00C81DC8"/>
    <w:rsid w:val="00C8240D"/>
    <w:rsid w:val="00C8242A"/>
    <w:rsid w:val="00C826EA"/>
    <w:rsid w:val="00C8283D"/>
    <w:rsid w:val="00C82911"/>
    <w:rsid w:val="00C82C17"/>
    <w:rsid w:val="00C82F1A"/>
    <w:rsid w:val="00C831D7"/>
    <w:rsid w:val="00C83408"/>
    <w:rsid w:val="00C83511"/>
    <w:rsid w:val="00C835C1"/>
    <w:rsid w:val="00C83663"/>
    <w:rsid w:val="00C83692"/>
    <w:rsid w:val="00C837B7"/>
    <w:rsid w:val="00C83906"/>
    <w:rsid w:val="00C83AB2"/>
    <w:rsid w:val="00C83AF0"/>
    <w:rsid w:val="00C83BCC"/>
    <w:rsid w:val="00C83BFF"/>
    <w:rsid w:val="00C83D22"/>
    <w:rsid w:val="00C83D9A"/>
    <w:rsid w:val="00C83DBA"/>
    <w:rsid w:val="00C83E57"/>
    <w:rsid w:val="00C83E5F"/>
    <w:rsid w:val="00C84022"/>
    <w:rsid w:val="00C845B0"/>
    <w:rsid w:val="00C846F4"/>
    <w:rsid w:val="00C8474B"/>
    <w:rsid w:val="00C84867"/>
    <w:rsid w:val="00C849E1"/>
    <w:rsid w:val="00C84A72"/>
    <w:rsid w:val="00C84D1C"/>
    <w:rsid w:val="00C84FCE"/>
    <w:rsid w:val="00C85021"/>
    <w:rsid w:val="00C85032"/>
    <w:rsid w:val="00C85402"/>
    <w:rsid w:val="00C854A4"/>
    <w:rsid w:val="00C8572A"/>
    <w:rsid w:val="00C85753"/>
    <w:rsid w:val="00C85B4E"/>
    <w:rsid w:val="00C85BB9"/>
    <w:rsid w:val="00C85F99"/>
    <w:rsid w:val="00C85FE9"/>
    <w:rsid w:val="00C8604E"/>
    <w:rsid w:val="00C86167"/>
    <w:rsid w:val="00C86479"/>
    <w:rsid w:val="00C869C0"/>
    <w:rsid w:val="00C86A81"/>
    <w:rsid w:val="00C86CFF"/>
    <w:rsid w:val="00C870AD"/>
    <w:rsid w:val="00C87233"/>
    <w:rsid w:val="00C872A6"/>
    <w:rsid w:val="00C8760B"/>
    <w:rsid w:val="00C876C6"/>
    <w:rsid w:val="00C8775D"/>
    <w:rsid w:val="00C877E2"/>
    <w:rsid w:val="00C87811"/>
    <w:rsid w:val="00C878B9"/>
    <w:rsid w:val="00C87F8C"/>
    <w:rsid w:val="00C87FB0"/>
    <w:rsid w:val="00C902C5"/>
    <w:rsid w:val="00C9031C"/>
    <w:rsid w:val="00C90498"/>
    <w:rsid w:val="00C904D8"/>
    <w:rsid w:val="00C90641"/>
    <w:rsid w:val="00C90800"/>
    <w:rsid w:val="00C90938"/>
    <w:rsid w:val="00C90DF6"/>
    <w:rsid w:val="00C90F1B"/>
    <w:rsid w:val="00C91084"/>
    <w:rsid w:val="00C91397"/>
    <w:rsid w:val="00C91511"/>
    <w:rsid w:val="00C91638"/>
    <w:rsid w:val="00C91703"/>
    <w:rsid w:val="00C9192A"/>
    <w:rsid w:val="00C919AF"/>
    <w:rsid w:val="00C91ABA"/>
    <w:rsid w:val="00C91DC4"/>
    <w:rsid w:val="00C91F06"/>
    <w:rsid w:val="00C91F75"/>
    <w:rsid w:val="00C92145"/>
    <w:rsid w:val="00C92247"/>
    <w:rsid w:val="00C92320"/>
    <w:rsid w:val="00C924F4"/>
    <w:rsid w:val="00C928B2"/>
    <w:rsid w:val="00C92AB2"/>
    <w:rsid w:val="00C92AFD"/>
    <w:rsid w:val="00C92C82"/>
    <w:rsid w:val="00C93053"/>
    <w:rsid w:val="00C933E8"/>
    <w:rsid w:val="00C93729"/>
    <w:rsid w:val="00C93A0E"/>
    <w:rsid w:val="00C93C70"/>
    <w:rsid w:val="00C93E00"/>
    <w:rsid w:val="00C94517"/>
    <w:rsid w:val="00C94625"/>
    <w:rsid w:val="00C94721"/>
    <w:rsid w:val="00C94949"/>
    <w:rsid w:val="00C94A08"/>
    <w:rsid w:val="00C94D0D"/>
    <w:rsid w:val="00C94FCF"/>
    <w:rsid w:val="00C9530A"/>
    <w:rsid w:val="00C9558D"/>
    <w:rsid w:val="00C95744"/>
    <w:rsid w:val="00C95796"/>
    <w:rsid w:val="00C957E3"/>
    <w:rsid w:val="00C95965"/>
    <w:rsid w:val="00C95B6F"/>
    <w:rsid w:val="00C95D83"/>
    <w:rsid w:val="00C95F30"/>
    <w:rsid w:val="00C96192"/>
    <w:rsid w:val="00C96198"/>
    <w:rsid w:val="00C961B1"/>
    <w:rsid w:val="00C964C4"/>
    <w:rsid w:val="00C966E5"/>
    <w:rsid w:val="00C96ACD"/>
    <w:rsid w:val="00C96B46"/>
    <w:rsid w:val="00C96B94"/>
    <w:rsid w:val="00C96D86"/>
    <w:rsid w:val="00C972AF"/>
    <w:rsid w:val="00C9766A"/>
    <w:rsid w:val="00C97B22"/>
    <w:rsid w:val="00C97BE3"/>
    <w:rsid w:val="00C97C20"/>
    <w:rsid w:val="00C97CC1"/>
    <w:rsid w:val="00C97E8C"/>
    <w:rsid w:val="00C97F83"/>
    <w:rsid w:val="00C97F9A"/>
    <w:rsid w:val="00CA05C7"/>
    <w:rsid w:val="00CA065B"/>
    <w:rsid w:val="00CA0713"/>
    <w:rsid w:val="00CA0749"/>
    <w:rsid w:val="00CA083A"/>
    <w:rsid w:val="00CA0938"/>
    <w:rsid w:val="00CA0AEB"/>
    <w:rsid w:val="00CA0E97"/>
    <w:rsid w:val="00CA0FA2"/>
    <w:rsid w:val="00CA1212"/>
    <w:rsid w:val="00CA1448"/>
    <w:rsid w:val="00CA17F6"/>
    <w:rsid w:val="00CA17FE"/>
    <w:rsid w:val="00CA18CD"/>
    <w:rsid w:val="00CA1961"/>
    <w:rsid w:val="00CA19C5"/>
    <w:rsid w:val="00CA1BF3"/>
    <w:rsid w:val="00CA1E34"/>
    <w:rsid w:val="00CA1E3E"/>
    <w:rsid w:val="00CA1E56"/>
    <w:rsid w:val="00CA1ED3"/>
    <w:rsid w:val="00CA1FF0"/>
    <w:rsid w:val="00CA2286"/>
    <w:rsid w:val="00CA22D2"/>
    <w:rsid w:val="00CA236D"/>
    <w:rsid w:val="00CA24DA"/>
    <w:rsid w:val="00CA266A"/>
    <w:rsid w:val="00CA26E5"/>
    <w:rsid w:val="00CA283F"/>
    <w:rsid w:val="00CA2A65"/>
    <w:rsid w:val="00CA2A81"/>
    <w:rsid w:val="00CA2B95"/>
    <w:rsid w:val="00CA2E13"/>
    <w:rsid w:val="00CA2EB8"/>
    <w:rsid w:val="00CA2F8A"/>
    <w:rsid w:val="00CA301C"/>
    <w:rsid w:val="00CA3079"/>
    <w:rsid w:val="00CA32CD"/>
    <w:rsid w:val="00CA3373"/>
    <w:rsid w:val="00CA36FD"/>
    <w:rsid w:val="00CA396D"/>
    <w:rsid w:val="00CA3A08"/>
    <w:rsid w:val="00CA3A0F"/>
    <w:rsid w:val="00CA3CA3"/>
    <w:rsid w:val="00CA3D68"/>
    <w:rsid w:val="00CA3DA3"/>
    <w:rsid w:val="00CA3DC8"/>
    <w:rsid w:val="00CA3FB4"/>
    <w:rsid w:val="00CA41B0"/>
    <w:rsid w:val="00CA4255"/>
    <w:rsid w:val="00CA4271"/>
    <w:rsid w:val="00CA43B2"/>
    <w:rsid w:val="00CA4605"/>
    <w:rsid w:val="00CA4798"/>
    <w:rsid w:val="00CA4A60"/>
    <w:rsid w:val="00CA4AE0"/>
    <w:rsid w:val="00CA4AE8"/>
    <w:rsid w:val="00CA4D80"/>
    <w:rsid w:val="00CA4E06"/>
    <w:rsid w:val="00CA4E6A"/>
    <w:rsid w:val="00CA503C"/>
    <w:rsid w:val="00CA50E9"/>
    <w:rsid w:val="00CA5106"/>
    <w:rsid w:val="00CA53DB"/>
    <w:rsid w:val="00CA5559"/>
    <w:rsid w:val="00CA5752"/>
    <w:rsid w:val="00CA57C7"/>
    <w:rsid w:val="00CA58CC"/>
    <w:rsid w:val="00CA59FF"/>
    <w:rsid w:val="00CA5AD8"/>
    <w:rsid w:val="00CA5DA5"/>
    <w:rsid w:val="00CA5E1E"/>
    <w:rsid w:val="00CA6122"/>
    <w:rsid w:val="00CA6298"/>
    <w:rsid w:val="00CA62DB"/>
    <w:rsid w:val="00CA6509"/>
    <w:rsid w:val="00CA654F"/>
    <w:rsid w:val="00CA657E"/>
    <w:rsid w:val="00CA67D6"/>
    <w:rsid w:val="00CA6BA3"/>
    <w:rsid w:val="00CA6C26"/>
    <w:rsid w:val="00CA6D41"/>
    <w:rsid w:val="00CA6F4B"/>
    <w:rsid w:val="00CA709A"/>
    <w:rsid w:val="00CA737A"/>
    <w:rsid w:val="00CA7395"/>
    <w:rsid w:val="00CA73A0"/>
    <w:rsid w:val="00CA741B"/>
    <w:rsid w:val="00CA74B9"/>
    <w:rsid w:val="00CA74D8"/>
    <w:rsid w:val="00CA759F"/>
    <w:rsid w:val="00CA769A"/>
    <w:rsid w:val="00CA77C2"/>
    <w:rsid w:val="00CA78DF"/>
    <w:rsid w:val="00CA790A"/>
    <w:rsid w:val="00CA79E3"/>
    <w:rsid w:val="00CA7A69"/>
    <w:rsid w:val="00CA7B37"/>
    <w:rsid w:val="00CA7B6E"/>
    <w:rsid w:val="00CA7CD6"/>
    <w:rsid w:val="00CB0012"/>
    <w:rsid w:val="00CB0276"/>
    <w:rsid w:val="00CB029A"/>
    <w:rsid w:val="00CB0335"/>
    <w:rsid w:val="00CB03BA"/>
    <w:rsid w:val="00CB055F"/>
    <w:rsid w:val="00CB061B"/>
    <w:rsid w:val="00CB07B7"/>
    <w:rsid w:val="00CB0851"/>
    <w:rsid w:val="00CB08D6"/>
    <w:rsid w:val="00CB0981"/>
    <w:rsid w:val="00CB09CD"/>
    <w:rsid w:val="00CB0A2D"/>
    <w:rsid w:val="00CB0AD0"/>
    <w:rsid w:val="00CB0C71"/>
    <w:rsid w:val="00CB0D15"/>
    <w:rsid w:val="00CB0E34"/>
    <w:rsid w:val="00CB0EF3"/>
    <w:rsid w:val="00CB0EF6"/>
    <w:rsid w:val="00CB1227"/>
    <w:rsid w:val="00CB14BE"/>
    <w:rsid w:val="00CB1907"/>
    <w:rsid w:val="00CB193F"/>
    <w:rsid w:val="00CB199C"/>
    <w:rsid w:val="00CB19EA"/>
    <w:rsid w:val="00CB1A5E"/>
    <w:rsid w:val="00CB1BCA"/>
    <w:rsid w:val="00CB1D08"/>
    <w:rsid w:val="00CB1DD4"/>
    <w:rsid w:val="00CB1E42"/>
    <w:rsid w:val="00CB2010"/>
    <w:rsid w:val="00CB2016"/>
    <w:rsid w:val="00CB21A6"/>
    <w:rsid w:val="00CB2295"/>
    <w:rsid w:val="00CB23CE"/>
    <w:rsid w:val="00CB27DD"/>
    <w:rsid w:val="00CB27E8"/>
    <w:rsid w:val="00CB287E"/>
    <w:rsid w:val="00CB28A2"/>
    <w:rsid w:val="00CB2975"/>
    <w:rsid w:val="00CB2A97"/>
    <w:rsid w:val="00CB2BF6"/>
    <w:rsid w:val="00CB2C20"/>
    <w:rsid w:val="00CB2C66"/>
    <w:rsid w:val="00CB2CBC"/>
    <w:rsid w:val="00CB2CED"/>
    <w:rsid w:val="00CB2D8C"/>
    <w:rsid w:val="00CB2EB3"/>
    <w:rsid w:val="00CB32F8"/>
    <w:rsid w:val="00CB38D9"/>
    <w:rsid w:val="00CB3A1C"/>
    <w:rsid w:val="00CB3C5E"/>
    <w:rsid w:val="00CB3CC6"/>
    <w:rsid w:val="00CB3D3E"/>
    <w:rsid w:val="00CB3D8A"/>
    <w:rsid w:val="00CB3E19"/>
    <w:rsid w:val="00CB3F08"/>
    <w:rsid w:val="00CB3F87"/>
    <w:rsid w:val="00CB40BA"/>
    <w:rsid w:val="00CB40C7"/>
    <w:rsid w:val="00CB4169"/>
    <w:rsid w:val="00CB4781"/>
    <w:rsid w:val="00CB492E"/>
    <w:rsid w:val="00CB4CA8"/>
    <w:rsid w:val="00CB4DE9"/>
    <w:rsid w:val="00CB50DE"/>
    <w:rsid w:val="00CB5232"/>
    <w:rsid w:val="00CB5348"/>
    <w:rsid w:val="00CB53D3"/>
    <w:rsid w:val="00CB58E4"/>
    <w:rsid w:val="00CB5A39"/>
    <w:rsid w:val="00CB5A3E"/>
    <w:rsid w:val="00CB5E32"/>
    <w:rsid w:val="00CB5EBB"/>
    <w:rsid w:val="00CB5ED5"/>
    <w:rsid w:val="00CB5F26"/>
    <w:rsid w:val="00CB5FF1"/>
    <w:rsid w:val="00CB6262"/>
    <w:rsid w:val="00CB63EF"/>
    <w:rsid w:val="00CB6403"/>
    <w:rsid w:val="00CB648C"/>
    <w:rsid w:val="00CB67A6"/>
    <w:rsid w:val="00CB68B2"/>
    <w:rsid w:val="00CB698B"/>
    <w:rsid w:val="00CB6A84"/>
    <w:rsid w:val="00CB6E07"/>
    <w:rsid w:val="00CB6F5A"/>
    <w:rsid w:val="00CB7327"/>
    <w:rsid w:val="00CB7768"/>
    <w:rsid w:val="00CB785C"/>
    <w:rsid w:val="00CB7D7F"/>
    <w:rsid w:val="00CB7F40"/>
    <w:rsid w:val="00CC021E"/>
    <w:rsid w:val="00CC0303"/>
    <w:rsid w:val="00CC050A"/>
    <w:rsid w:val="00CC05E7"/>
    <w:rsid w:val="00CC0817"/>
    <w:rsid w:val="00CC08EE"/>
    <w:rsid w:val="00CC0A4E"/>
    <w:rsid w:val="00CC0B32"/>
    <w:rsid w:val="00CC1338"/>
    <w:rsid w:val="00CC1463"/>
    <w:rsid w:val="00CC18A0"/>
    <w:rsid w:val="00CC18AE"/>
    <w:rsid w:val="00CC1916"/>
    <w:rsid w:val="00CC193D"/>
    <w:rsid w:val="00CC2091"/>
    <w:rsid w:val="00CC2220"/>
    <w:rsid w:val="00CC2268"/>
    <w:rsid w:val="00CC25DF"/>
    <w:rsid w:val="00CC2659"/>
    <w:rsid w:val="00CC29B5"/>
    <w:rsid w:val="00CC29CE"/>
    <w:rsid w:val="00CC2A6A"/>
    <w:rsid w:val="00CC2B7C"/>
    <w:rsid w:val="00CC2C07"/>
    <w:rsid w:val="00CC2F1F"/>
    <w:rsid w:val="00CC3078"/>
    <w:rsid w:val="00CC3292"/>
    <w:rsid w:val="00CC32D3"/>
    <w:rsid w:val="00CC32F9"/>
    <w:rsid w:val="00CC35AC"/>
    <w:rsid w:val="00CC36F5"/>
    <w:rsid w:val="00CC3778"/>
    <w:rsid w:val="00CC3825"/>
    <w:rsid w:val="00CC3877"/>
    <w:rsid w:val="00CC3C7B"/>
    <w:rsid w:val="00CC3D76"/>
    <w:rsid w:val="00CC3E1D"/>
    <w:rsid w:val="00CC3F86"/>
    <w:rsid w:val="00CC4043"/>
    <w:rsid w:val="00CC40A3"/>
    <w:rsid w:val="00CC41BE"/>
    <w:rsid w:val="00CC43A4"/>
    <w:rsid w:val="00CC4653"/>
    <w:rsid w:val="00CC488A"/>
    <w:rsid w:val="00CC49E8"/>
    <w:rsid w:val="00CC4A57"/>
    <w:rsid w:val="00CC4A5E"/>
    <w:rsid w:val="00CC4DA6"/>
    <w:rsid w:val="00CC4E58"/>
    <w:rsid w:val="00CC4F04"/>
    <w:rsid w:val="00CC5066"/>
    <w:rsid w:val="00CC515A"/>
    <w:rsid w:val="00CC538E"/>
    <w:rsid w:val="00CC551C"/>
    <w:rsid w:val="00CC55EB"/>
    <w:rsid w:val="00CC5725"/>
    <w:rsid w:val="00CC5728"/>
    <w:rsid w:val="00CC5A79"/>
    <w:rsid w:val="00CC5A86"/>
    <w:rsid w:val="00CC5CBA"/>
    <w:rsid w:val="00CC5D34"/>
    <w:rsid w:val="00CC5E34"/>
    <w:rsid w:val="00CC5F81"/>
    <w:rsid w:val="00CC65E3"/>
    <w:rsid w:val="00CC6607"/>
    <w:rsid w:val="00CC6689"/>
    <w:rsid w:val="00CC676E"/>
    <w:rsid w:val="00CC6D08"/>
    <w:rsid w:val="00CC6E7B"/>
    <w:rsid w:val="00CC6F6C"/>
    <w:rsid w:val="00CC71DF"/>
    <w:rsid w:val="00CC7335"/>
    <w:rsid w:val="00CC756F"/>
    <w:rsid w:val="00CC7839"/>
    <w:rsid w:val="00CC7A20"/>
    <w:rsid w:val="00CD02FB"/>
    <w:rsid w:val="00CD0302"/>
    <w:rsid w:val="00CD0366"/>
    <w:rsid w:val="00CD03FC"/>
    <w:rsid w:val="00CD04D4"/>
    <w:rsid w:val="00CD057F"/>
    <w:rsid w:val="00CD06B8"/>
    <w:rsid w:val="00CD08C0"/>
    <w:rsid w:val="00CD0923"/>
    <w:rsid w:val="00CD095C"/>
    <w:rsid w:val="00CD09AE"/>
    <w:rsid w:val="00CD09B0"/>
    <w:rsid w:val="00CD0B91"/>
    <w:rsid w:val="00CD0BE5"/>
    <w:rsid w:val="00CD1124"/>
    <w:rsid w:val="00CD1173"/>
    <w:rsid w:val="00CD17B3"/>
    <w:rsid w:val="00CD19B4"/>
    <w:rsid w:val="00CD1B9E"/>
    <w:rsid w:val="00CD1D22"/>
    <w:rsid w:val="00CD1E55"/>
    <w:rsid w:val="00CD20C5"/>
    <w:rsid w:val="00CD211B"/>
    <w:rsid w:val="00CD2381"/>
    <w:rsid w:val="00CD24FF"/>
    <w:rsid w:val="00CD250F"/>
    <w:rsid w:val="00CD294C"/>
    <w:rsid w:val="00CD29E5"/>
    <w:rsid w:val="00CD2A35"/>
    <w:rsid w:val="00CD2E3F"/>
    <w:rsid w:val="00CD30FF"/>
    <w:rsid w:val="00CD31D8"/>
    <w:rsid w:val="00CD3242"/>
    <w:rsid w:val="00CD339E"/>
    <w:rsid w:val="00CD35BF"/>
    <w:rsid w:val="00CD36DB"/>
    <w:rsid w:val="00CD36FD"/>
    <w:rsid w:val="00CD3963"/>
    <w:rsid w:val="00CD3A68"/>
    <w:rsid w:val="00CD3E3C"/>
    <w:rsid w:val="00CD3E9B"/>
    <w:rsid w:val="00CD3F21"/>
    <w:rsid w:val="00CD41B1"/>
    <w:rsid w:val="00CD4368"/>
    <w:rsid w:val="00CD4527"/>
    <w:rsid w:val="00CD4639"/>
    <w:rsid w:val="00CD4691"/>
    <w:rsid w:val="00CD46CB"/>
    <w:rsid w:val="00CD4778"/>
    <w:rsid w:val="00CD482C"/>
    <w:rsid w:val="00CD4965"/>
    <w:rsid w:val="00CD498C"/>
    <w:rsid w:val="00CD49DC"/>
    <w:rsid w:val="00CD4C35"/>
    <w:rsid w:val="00CD4E48"/>
    <w:rsid w:val="00CD52AC"/>
    <w:rsid w:val="00CD5463"/>
    <w:rsid w:val="00CD54D7"/>
    <w:rsid w:val="00CD561E"/>
    <w:rsid w:val="00CD56D3"/>
    <w:rsid w:val="00CD591E"/>
    <w:rsid w:val="00CD5B8E"/>
    <w:rsid w:val="00CD5C02"/>
    <w:rsid w:val="00CD5CEF"/>
    <w:rsid w:val="00CD5D68"/>
    <w:rsid w:val="00CD5F89"/>
    <w:rsid w:val="00CD5FDF"/>
    <w:rsid w:val="00CD5FF7"/>
    <w:rsid w:val="00CD6001"/>
    <w:rsid w:val="00CD6146"/>
    <w:rsid w:val="00CD6160"/>
    <w:rsid w:val="00CD639F"/>
    <w:rsid w:val="00CD648B"/>
    <w:rsid w:val="00CD652B"/>
    <w:rsid w:val="00CD6540"/>
    <w:rsid w:val="00CD656B"/>
    <w:rsid w:val="00CD67C0"/>
    <w:rsid w:val="00CD6AE5"/>
    <w:rsid w:val="00CD6B0B"/>
    <w:rsid w:val="00CD6B2C"/>
    <w:rsid w:val="00CD6BEB"/>
    <w:rsid w:val="00CD6C41"/>
    <w:rsid w:val="00CD6C55"/>
    <w:rsid w:val="00CD70AA"/>
    <w:rsid w:val="00CD7297"/>
    <w:rsid w:val="00CD72B1"/>
    <w:rsid w:val="00CD72D2"/>
    <w:rsid w:val="00CD72DF"/>
    <w:rsid w:val="00CD731A"/>
    <w:rsid w:val="00CD7444"/>
    <w:rsid w:val="00CD75F3"/>
    <w:rsid w:val="00CD78F0"/>
    <w:rsid w:val="00CD7993"/>
    <w:rsid w:val="00CD7C4A"/>
    <w:rsid w:val="00CD7E5A"/>
    <w:rsid w:val="00CD7F43"/>
    <w:rsid w:val="00CE0058"/>
    <w:rsid w:val="00CE0232"/>
    <w:rsid w:val="00CE041D"/>
    <w:rsid w:val="00CE0501"/>
    <w:rsid w:val="00CE05DA"/>
    <w:rsid w:val="00CE096A"/>
    <w:rsid w:val="00CE0A2C"/>
    <w:rsid w:val="00CE0EE2"/>
    <w:rsid w:val="00CE0FBC"/>
    <w:rsid w:val="00CE0FE3"/>
    <w:rsid w:val="00CE108D"/>
    <w:rsid w:val="00CE114E"/>
    <w:rsid w:val="00CE11F1"/>
    <w:rsid w:val="00CE152B"/>
    <w:rsid w:val="00CE15C9"/>
    <w:rsid w:val="00CE1965"/>
    <w:rsid w:val="00CE1A3A"/>
    <w:rsid w:val="00CE1A57"/>
    <w:rsid w:val="00CE1A8C"/>
    <w:rsid w:val="00CE1BBA"/>
    <w:rsid w:val="00CE1CE5"/>
    <w:rsid w:val="00CE1D1F"/>
    <w:rsid w:val="00CE1F7D"/>
    <w:rsid w:val="00CE2057"/>
    <w:rsid w:val="00CE2150"/>
    <w:rsid w:val="00CE25D5"/>
    <w:rsid w:val="00CE2708"/>
    <w:rsid w:val="00CE27C4"/>
    <w:rsid w:val="00CE27E7"/>
    <w:rsid w:val="00CE282D"/>
    <w:rsid w:val="00CE292D"/>
    <w:rsid w:val="00CE29BE"/>
    <w:rsid w:val="00CE2B35"/>
    <w:rsid w:val="00CE2E5C"/>
    <w:rsid w:val="00CE2E73"/>
    <w:rsid w:val="00CE2FD9"/>
    <w:rsid w:val="00CE312F"/>
    <w:rsid w:val="00CE31DE"/>
    <w:rsid w:val="00CE3233"/>
    <w:rsid w:val="00CE331F"/>
    <w:rsid w:val="00CE33B8"/>
    <w:rsid w:val="00CE344D"/>
    <w:rsid w:val="00CE3539"/>
    <w:rsid w:val="00CE35BA"/>
    <w:rsid w:val="00CE37DF"/>
    <w:rsid w:val="00CE380F"/>
    <w:rsid w:val="00CE3BA4"/>
    <w:rsid w:val="00CE4298"/>
    <w:rsid w:val="00CE42A9"/>
    <w:rsid w:val="00CE42CE"/>
    <w:rsid w:val="00CE42D5"/>
    <w:rsid w:val="00CE4341"/>
    <w:rsid w:val="00CE46A4"/>
    <w:rsid w:val="00CE4758"/>
    <w:rsid w:val="00CE4786"/>
    <w:rsid w:val="00CE478F"/>
    <w:rsid w:val="00CE4B4E"/>
    <w:rsid w:val="00CE4C16"/>
    <w:rsid w:val="00CE4D4A"/>
    <w:rsid w:val="00CE4DE3"/>
    <w:rsid w:val="00CE4E6C"/>
    <w:rsid w:val="00CE4F9A"/>
    <w:rsid w:val="00CE5085"/>
    <w:rsid w:val="00CE5260"/>
    <w:rsid w:val="00CE53E4"/>
    <w:rsid w:val="00CE556B"/>
    <w:rsid w:val="00CE5592"/>
    <w:rsid w:val="00CE5668"/>
    <w:rsid w:val="00CE5792"/>
    <w:rsid w:val="00CE582B"/>
    <w:rsid w:val="00CE5840"/>
    <w:rsid w:val="00CE5844"/>
    <w:rsid w:val="00CE5A9F"/>
    <w:rsid w:val="00CE5D5D"/>
    <w:rsid w:val="00CE5F0A"/>
    <w:rsid w:val="00CE6054"/>
    <w:rsid w:val="00CE6196"/>
    <w:rsid w:val="00CE6386"/>
    <w:rsid w:val="00CE65AF"/>
    <w:rsid w:val="00CE6614"/>
    <w:rsid w:val="00CE6650"/>
    <w:rsid w:val="00CE66FE"/>
    <w:rsid w:val="00CE6E04"/>
    <w:rsid w:val="00CE6E6E"/>
    <w:rsid w:val="00CE6EB7"/>
    <w:rsid w:val="00CE724D"/>
    <w:rsid w:val="00CE736E"/>
    <w:rsid w:val="00CE7603"/>
    <w:rsid w:val="00CE7708"/>
    <w:rsid w:val="00CE7A39"/>
    <w:rsid w:val="00CE7A49"/>
    <w:rsid w:val="00CE7E8A"/>
    <w:rsid w:val="00CE7EFA"/>
    <w:rsid w:val="00CE7F9C"/>
    <w:rsid w:val="00CF001D"/>
    <w:rsid w:val="00CF00B7"/>
    <w:rsid w:val="00CF019D"/>
    <w:rsid w:val="00CF05D0"/>
    <w:rsid w:val="00CF0748"/>
    <w:rsid w:val="00CF0769"/>
    <w:rsid w:val="00CF095F"/>
    <w:rsid w:val="00CF0D08"/>
    <w:rsid w:val="00CF0DDE"/>
    <w:rsid w:val="00CF0EAF"/>
    <w:rsid w:val="00CF1153"/>
    <w:rsid w:val="00CF1229"/>
    <w:rsid w:val="00CF13E3"/>
    <w:rsid w:val="00CF1450"/>
    <w:rsid w:val="00CF1AC3"/>
    <w:rsid w:val="00CF1C47"/>
    <w:rsid w:val="00CF1DA0"/>
    <w:rsid w:val="00CF1DB3"/>
    <w:rsid w:val="00CF1E6B"/>
    <w:rsid w:val="00CF20B2"/>
    <w:rsid w:val="00CF2192"/>
    <w:rsid w:val="00CF250B"/>
    <w:rsid w:val="00CF26D8"/>
    <w:rsid w:val="00CF284F"/>
    <w:rsid w:val="00CF29A8"/>
    <w:rsid w:val="00CF2A23"/>
    <w:rsid w:val="00CF2A67"/>
    <w:rsid w:val="00CF2A90"/>
    <w:rsid w:val="00CF2B69"/>
    <w:rsid w:val="00CF2B76"/>
    <w:rsid w:val="00CF2C95"/>
    <w:rsid w:val="00CF2E08"/>
    <w:rsid w:val="00CF2F3F"/>
    <w:rsid w:val="00CF307F"/>
    <w:rsid w:val="00CF31CC"/>
    <w:rsid w:val="00CF3207"/>
    <w:rsid w:val="00CF33C1"/>
    <w:rsid w:val="00CF33ED"/>
    <w:rsid w:val="00CF3455"/>
    <w:rsid w:val="00CF35A4"/>
    <w:rsid w:val="00CF37EF"/>
    <w:rsid w:val="00CF3B02"/>
    <w:rsid w:val="00CF3DC8"/>
    <w:rsid w:val="00CF40AA"/>
    <w:rsid w:val="00CF426B"/>
    <w:rsid w:val="00CF4304"/>
    <w:rsid w:val="00CF437F"/>
    <w:rsid w:val="00CF4520"/>
    <w:rsid w:val="00CF45C8"/>
    <w:rsid w:val="00CF4706"/>
    <w:rsid w:val="00CF4B88"/>
    <w:rsid w:val="00CF4D79"/>
    <w:rsid w:val="00CF519B"/>
    <w:rsid w:val="00CF54CF"/>
    <w:rsid w:val="00CF56A8"/>
    <w:rsid w:val="00CF5A5D"/>
    <w:rsid w:val="00CF5AE7"/>
    <w:rsid w:val="00CF5B90"/>
    <w:rsid w:val="00CF5C69"/>
    <w:rsid w:val="00CF5D16"/>
    <w:rsid w:val="00CF5EAF"/>
    <w:rsid w:val="00CF5EB4"/>
    <w:rsid w:val="00CF6088"/>
    <w:rsid w:val="00CF6350"/>
    <w:rsid w:val="00CF6784"/>
    <w:rsid w:val="00CF68F4"/>
    <w:rsid w:val="00CF6998"/>
    <w:rsid w:val="00CF6CF5"/>
    <w:rsid w:val="00CF7011"/>
    <w:rsid w:val="00CF701A"/>
    <w:rsid w:val="00CF702F"/>
    <w:rsid w:val="00CF705C"/>
    <w:rsid w:val="00CF7178"/>
    <w:rsid w:val="00CF72EE"/>
    <w:rsid w:val="00CF742E"/>
    <w:rsid w:val="00CF7552"/>
    <w:rsid w:val="00CF7946"/>
    <w:rsid w:val="00CF797D"/>
    <w:rsid w:val="00CF7A22"/>
    <w:rsid w:val="00CF7B2B"/>
    <w:rsid w:val="00CF7BB2"/>
    <w:rsid w:val="00CF7E7A"/>
    <w:rsid w:val="00CF7E94"/>
    <w:rsid w:val="00CF7F28"/>
    <w:rsid w:val="00CF7F49"/>
    <w:rsid w:val="00CF7F6C"/>
    <w:rsid w:val="00D000CE"/>
    <w:rsid w:val="00D002AB"/>
    <w:rsid w:val="00D004B1"/>
    <w:rsid w:val="00D004E2"/>
    <w:rsid w:val="00D00897"/>
    <w:rsid w:val="00D008CD"/>
    <w:rsid w:val="00D00982"/>
    <w:rsid w:val="00D00C79"/>
    <w:rsid w:val="00D00D72"/>
    <w:rsid w:val="00D00E13"/>
    <w:rsid w:val="00D00FF4"/>
    <w:rsid w:val="00D01057"/>
    <w:rsid w:val="00D01179"/>
    <w:rsid w:val="00D01642"/>
    <w:rsid w:val="00D0177D"/>
    <w:rsid w:val="00D0182D"/>
    <w:rsid w:val="00D019C1"/>
    <w:rsid w:val="00D019EA"/>
    <w:rsid w:val="00D01A4C"/>
    <w:rsid w:val="00D01B6C"/>
    <w:rsid w:val="00D01C1A"/>
    <w:rsid w:val="00D01C97"/>
    <w:rsid w:val="00D01CE9"/>
    <w:rsid w:val="00D01F48"/>
    <w:rsid w:val="00D02081"/>
    <w:rsid w:val="00D02487"/>
    <w:rsid w:val="00D02526"/>
    <w:rsid w:val="00D0258E"/>
    <w:rsid w:val="00D0260D"/>
    <w:rsid w:val="00D02700"/>
    <w:rsid w:val="00D027A1"/>
    <w:rsid w:val="00D02848"/>
    <w:rsid w:val="00D02A9B"/>
    <w:rsid w:val="00D02C19"/>
    <w:rsid w:val="00D02E2E"/>
    <w:rsid w:val="00D02F91"/>
    <w:rsid w:val="00D0309A"/>
    <w:rsid w:val="00D032DD"/>
    <w:rsid w:val="00D03307"/>
    <w:rsid w:val="00D0339A"/>
    <w:rsid w:val="00D033BE"/>
    <w:rsid w:val="00D0346C"/>
    <w:rsid w:val="00D036BA"/>
    <w:rsid w:val="00D0372F"/>
    <w:rsid w:val="00D038FB"/>
    <w:rsid w:val="00D039F8"/>
    <w:rsid w:val="00D03AB6"/>
    <w:rsid w:val="00D03B10"/>
    <w:rsid w:val="00D03B9F"/>
    <w:rsid w:val="00D03CE8"/>
    <w:rsid w:val="00D03E35"/>
    <w:rsid w:val="00D03F36"/>
    <w:rsid w:val="00D04163"/>
    <w:rsid w:val="00D041AA"/>
    <w:rsid w:val="00D04325"/>
    <w:rsid w:val="00D0451F"/>
    <w:rsid w:val="00D045B6"/>
    <w:rsid w:val="00D047B9"/>
    <w:rsid w:val="00D04972"/>
    <w:rsid w:val="00D04977"/>
    <w:rsid w:val="00D04B9C"/>
    <w:rsid w:val="00D04E67"/>
    <w:rsid w:val="00D0522F"/>
    <w:rsid w:val="00D05686"/>
    <w:rsid w:val="00D05790"/>
    <w:rsid w:val="00D05A9C"/>
    <w:rsid w:val="00D05CA9"/>
    <w:rsid w:val="00D05D45"/>
    <w:rsid w:val="00D05D8F"/>
    <w:rsid w:val="00D05E78"/>
    <w:rsid w:val="00D05E8D"/>
    <w:rsid w:val="00D0609A"/>
    <w:rsid w:val="00D06249"/>
    <w:rsid w:val="00D064AA"/>
    <w:rsid w:val="00D065D9"/>
    <w:rsid w:val="00D06AA8"/>
    <w:rsid w:val="00D06CB3"/>
    <w:rsid w:val="00D06F98"/>
    <w:rsid w:val="00D07005"/>
    <w:rsid w:val="00D0745C"/>
    <w:rsid w:val="00D0763A"/>
    <w:rsid w:val="00D07642"/>
    <w:rsid w:val="00D076AC"/>
    <w:rsid w:val="00D0774A"/>
    <w:rsid w:val="00D0788F"/>
    <w:rsid w:val="00D07943"/>
    <w:rsid w:val="00D079C2"/>
    <w:rsid w:val="00D07A20"/>
    <w:rsid w:val="00D07BAC"/>
    <w:rsid w:val="00D07C25"/>
    <w:rsid w:val="00D07C9E"/>
    <w:rsid w:val="00D07DD5"/>
    <w:rsid w:val="00D10108"/>
    <w:rsid w:val="00D10143"/>
    <w:rsid w:val="00D10665"/>
    <w:rsid w:val="00D106E6"/>
    <w:rsid w:val="00D107CB"/>
    <w:rsid w:val="00D109C5"/>
    <w:rsid w:val="00D10C19"/>
    <w:rsid w:val="00D10E57"/>
    <w:rsid w:val="00D10EEF"/>
    <w:rsid w:val="00D10F96"/>
    <w:rsid w:val="00D11053"/>
    <w:rsid w:val="00D111E5"/>
    <w:rsid w:val="00D112C5"/>
    <w:rsid w:val="00D11363"/>
    <w:rsid w:val="00D114F1"/>
    <w:rsid w:val="00D1156D"/>
    <w:rsid w:val="00D116F0"/>
    <w:rsid w:val="00D118A7"/>
    <w:rsid w:val="00D11A81"/>
    <w:rsid w:val="00D11B7E"/>
    <w:rsid w:val="00D11C3A"/>
    <w:rsid w:val="00D11C3B"/>
    <w:rsid w:val="00D11C73"/>
    <w:rsid w:val="00D11D0C"/>
    <w:rsid w:val="00D11DFF"/>
    <w:rsid w:val="00D1203A"/>
    <w:rsid w:val="00D12803"/>
    <w:rsid w:val="00D12C77"/>
    <w:rsid w:val="00D13007"/>
    <w:rsid w:val="00D13233"/>
    <w:rsid w:val="00D132DE"/>
    <w:rsid w:val="00D134F8"/>
    <w:rsid w:val="00D135AE"/>
    <w:rsid w:val="00D1371B"/>
    <w:rsid w:val="00D13BAB"/>
    <w:rsid w:val="00D13C69"/>
    <w:rsid w:val="00D13E8D"/>
    <w:rsid w:val="00D13F45"/>
    <w:rsid w:val="00D13FE9"/>
    <w:rsid w:val="00D1401E"/>
    <w:rsid w:val="00D14176"/>
    <w:rsid w:val="00D143EA"/>
    <w:rsid w:val="00D14489"/>
    <w:rsid w:val="00D146BF"/>
    <w:rsid w:val="00D147A9"/>
    <w:rsid w:val="00D149F4"/>
    <w:rsid w:val="00D14A02"/>
    <w:rsid w:val="00D14A03"/>
    <w:rsid w:val="00D14BD5"/>
    <w:rsid w:val="00D14BF4"/>
    <w:rsid w:val="00D14DF6"/>
    <w:rsid w:val="00D14E09"/>
    <w:rsid w:val="00D14EAB"/>
    <w:rsid w:val="00D15020"/>
    <w:rsid w:val="00D1525D"/>
    <w:rsid w:val="00D15516"/>
    <w:rsid w:val="00D155FC"/>
    <w:rsid w:val="00D15666"/>
    <w:rsid w:val="00D156ED"/>
    <w:rsid w:val="00D15A92"/>
    <w:rsid w:val="00D15E9F"/>
    <w:rsid w:val="00D1600F"/>
    <w:rsid w:val="00D16145"/>
    <w:rsid w:val="00D16295"/>
    <w:rsid w:val="00D16315"/>
    <w:rsid w:val="00D1635D"/>
    <w:rsid w:val="00D16403"/>
    <w:rsid w:val="00D1640B"/>
    <w:rsid w:val="00D16460"/>
    <w:rsid w:val="00D16474"/>
    <w:rsid w:val="00D16532"/>
    <w:rsid w:val="00D1678A"/>
    <w:rsid w:val="00D16888"/>
    <w:rsid w:val="00D16A31"/>
    <w:rsid w:val="00D16B2F"/>
    <w:rsid w:val="00D16B83"/>
    <w:rsid w:val="00D16B85"/>
    <w:rsid w:val="00D16C65"/>
    <w:rsid w:val="00D16EDC"/>
    <w:rsid w:val="00D1702F"/>
    <w:rsid w:val="00D17114"/>
    <w:rsid w:val="00D17226"/>
    <w:rsid w:val="00D173E0"/>
    <w:rsid w:val="00D1753B"/>
    <w:rsid w:val="00D17588"/>
    <w:rsid w:val="00D176E5"/>
    <w:rsid w:val="00D17813"/>
    <w:rsid w:val="00D1782E"/>
    <w:rsid w:val="00D178DC"/>
    <w:rsid w:val="00D179FF"/>
    <w:rsid w:val="00D17BCE"/>
    <w:rsid w:val="00D17C60"/>
    <w:rsid w:val="00D17E2F"/>
    <w:rsid w:val="00D17E35"/>
    <w:rsid w:val="00D17EA8"/>
    <w:rsid w:val="00D17EDD"/>
    <w:rsid w:val="00D17EF0"/>
    <w:rsid w:val="00D2002C"/>
    <w:rsid w:val="00D20076"/>
    <w:rsid w:val="00D200B4"/>
    <w:rsid w:val="00D20194"/>
    <w:rsid w:val="00D2022A"/>
    <w:rsid w:val="00D20380"/>
    <w:rsid w:val="00D20471"/>
    <w:rsid w:val="00D20524"/>
    <w:rsid w:val="00D206D1"/>
    <w:rsid w:val="00D20968"/>
    <w:rsid w:val="00D209D9"/>
    <w:rsid w:val="00D20AEF"/>
    <w:rsid w:val="00D20EC1"/>
    <w:rsid w:val="00D21353"/>
    <w:rsid w:val="00D214E4"/>
    <w:rsid w:val="00D2157D"/>
    <w:rsid w:val="00D216D0"/>
    <w:rsid w:val="00D21733"/>
    <w:rsid w:val="00D21A7A"/>
    <w:rsid w:val="00D21ABA"/>
    <w:rsid w:val="00D21BEA"/>
    <w:rsid w:val="00D21C48"/>
    <w:rsid w:val="00D21C86"/>
    <w:rsid w:val="00D2226C"/>
    <w:rsid w:val="00D224C2"/>
    <w:rsid w:val="00D22594"/>
    <w:rsid w:val="00D22741"/>
    <w:rsid w:val="00D2278E"/>
    <w:rsid w:val="00D228BD"/>
    <w:rsid w:val="00D228F0"/>
    <w:rsid w:val="00D2291C"/>
    <w:rsid w:val="00D2292A"/>
    <w:rsid w:val="00D22A84"/>
    <w:rsid w:val="00D22ACF"/>
    <w:rsid w:val="00D22B58"/>
    <w:rsid w:val="00D22C2D"/>
    <w:rsid w:val="00D22C3C"/>
    <w:rsid w:val="00D22E91"/>
    <w:rsid w:val="00D22F99"/>
    <w:rsid w:val="00D22FFF"/>
    <w:rsid w:val="00D23029"/>
    <w:rsid w:val="00D23080"/>
    <w:rsid w:val="00D233A5"/>
    <w:rsid w:val="00D23469"/>
    <w:rsid w:val="00D2354E"/>
    <w:rsid w:val="00D23665"/>
    <w:rsid w:val="00D2389E"/>
    <w:rsid w:val="00D238EE"/>
    <w:rsid w:val="00D238F6"/>
    <w:rsid w:val="00D23A10"/>
    <w:rsid w:val="00D23A70"/>
    <w:rsid w:val="00D23AD7"/>
    <w:rsid w:val="00D23C40"/>
    <w:rsid w:val="00D23F2E"/>
    <w:rsid w:val="00D23F60"/>
    <w:rsid w:val="00D24094"/>
    <w:rsid w:val="00D2433E"/>
    <w:rsid w:val="00D243B8"/>
    <w:rsid w:val="00D243D2"/>
    <w:rsid w:val="00D24420"/>
    <w:rsid w:val="00D24467"/>
    <w:rsid w:val="00D24CB2"/>
    <w:rsid w:val="00D24F9D"/>
    <w:rsid w:val="00D25144"/>
    <w:rsid w:val="00D252AE"/>
    <w:rsid w:val="00D252D6"/>
    <w:rsid w:val="00D253A0"/>
    <w:rsid w:val="00D25518"/>
    <w:rsid w:val="00D25537"/>
    <w:rsid w:val="00D255CC"/>
    <w:rsid w:val="00D256F7"/>
    <w:rsid w:val="00D2574C"/>
    <w:rsid w:val="00D258BE"/>
    <w:rsid w:val="00D258CD"/>
    <w:rsid w:val="00D25967"/>
    <w:rsid w:val="00D25A96"/>
    <w:rsid w:val="00D25B7C"/>
    <w:rsid w:val="00D25C05"/>
    <w:rsid w:val="00D25C84"/>
    <w:rsid w:val="00D25F50"/>
    <w:rsid w:val="00D25FA6"/>
    <w:rsid w:val="00D260C8"/>
    <w:rsid w:val="00D2624E"/>
    <w:rsid w:val="00D267CC"/>
    <w:rsid w:val="00D2690A"/>
    <w:rsid w:val="00D26CD0"/>
    <w:rsid w:val="00D26E36"/>
    <w:rsid w:val="00D27017"/>
    <w:rsid w:val="00D27108"/>
    <w:rsid w:val="00D271B0"/>
    <w:rsid w:val="00D271EA"/>
    <w:rsid w:val="00D27238"/>
    <w:rsid w:val="00D274A8"/>
    <w:rsid w:val="00D27696"/>
    <w:rsid w:val="00D27BD1"/>
    <w:rsid w:val="00D27CDB"/>
    <w:rsid w:val="00D27E41"/>
    <w:rsid w:val="00D300A6"/>
    <w:rsid w:val="00D3024B"/>
    <w:rsid w:val="00D304C7"/>
    <w:rsid w:val="00D3070C"/>
    <w:rsid w:val="00D30716"/>
    <w:rsid w:val="00D30A64"/>
    <w:rsid w:val="00D30AC7"/>
    <w:rsid w:val="00D30CAA"/>
    <w:rsid w:val="00D30DD2"/>
    <w:rsid w:val="00D31611"/>
    <w:rsid w:val="00D31616"/>
    <w:rsid w:val="00D3190A"/>
    <w:rsid w:val="00D31B1D"/>
    <w:rsid w:val="00D31C24"/>
    <w:rsid w:val="00D31C32"/>
    <w:rsid w:val="00D31C70"/>
    <w:rsid w:val="00D31EFA"/>
    <w:rsid w:val="00D31FA2"/>
    <w:rsid w:val="00D322C8"/>
    <w:rsid w:val="00D32381"/>
    <w:rsid w:val="00D323FC"/>
    <w:rsid w:val="00D32616"/>
    <w:rsid w:val="00D32639"/>
    <w:rsid w:val="00D3266B"/>
    <w:rsid w:val="00D326B3"/>
    <w:rsid w:val="00D328DC"/>
    <w:rsid w:val="00D32ECD"/>
    <w:rsid w:val="00D33270"/>
    <w:rsid w:val="00D33292"/>
    <w:rsid w:val="00D3354E"/>
    <w:rsid w:val="00D33638"/>
    <w:rsid w:val="00D338C6"/>
    <w:rsid w:val="00D33CF1"/>
    <w:rsid w:val="00D33E70"/>
    <w:rsid w:val="00D3403C"/>
    <w:rsid w:val="00D3408E"/>
    <w:rsid w:val="00D34099"/>
    <w:rsid w:val="00D341A9"/>
    <w:rsid w:val="00D3420F"/>
    <w:rsid w:val="00D344D5"/>
    <w:rsid w:val="00D347FB"/>
    <w:rsid w:val="00D34892"/>
    <w:rsid w:val="00D34A91"/>
    <w:rsid w:val="00D34B37"/>
    <w:rsid w:val="00D34DCF"/>
    <w:rsid w:val="00D34E9A"/>
    <w:rsid w:val="00D351D9"/>
    <w:rsid w:val="00D35315"/>
    <w:rsid w:val="00D35385"/>
    <w:rsid w:val="00D353B8"/>
    <w:rsid w:val="00D353DB"/>
    <w:rsid w:val="00D3559C"/>
    <w:rsid w:val="00D355BA"/>
    <w:rsid w:val="00D356BA"/>
    <w:rsid w:val="00D358CB"/>
    <w:rsid w:val="00D35AAA"/>
    <w:rsid w:val="00D35BA0"/>
    <w:rsid w:val="00D36124"/>
    <w:rsid w:val="00D36175"/>
    <w:rsid w:val="00D36204"/>
    <w:rsid w:val="00D3629E"/>
    <w:rsid w:val="00D36358"/>
    <w:rsid w:val="00D363E6"/>
    <w:rsid w:val="00D3649D"/>
    <w:rsid w:val="00D3651C"/>
    <w:rsid w:val="00D36570"/>
    <w:rsid w:val="00D36867"/>
    <w:rsid w:val="00D368BD"/>
    <w:rsid w:val="00D3693A"/>
    <w:rsid w:val="00D369F4"/>
    <w:rsid w:val="00D36A78"/>
    <w:rsid w:val="00D36C04"/>
    <w:rsid w:val="00D36C0C"/>
    <w:rsid w:val="00D36E8C"/>
    <w:rsid w:val="00D36F80"/>
    <w:rsid w:val="00D37000"/>
    <w:rsid w:val="00D37091"/>
    <w:rsid w:val="00D37175"/>
    <w:rsid w:val="00D371A1"/>
    <w:rsid w:val="00D373DC"/>
    <w:rsid w:val="00D373F8"/>
    <w:rsid w:val="00D37552"/>
    <w:rsid w:val="00D378A4"/>
    <w:rsid w:val="00D378CB"/>
    <w:rsid w:val="00D37999"/>
    <w:rsid w:val="00D3799C"/>
    <w:rsid w:val="00D37A93"/>
    <w:rsid w:val="00D37AFF"/>
    <w:rsid w:val="00D37CCD"/>
    <w:rsid w:val="00D37DDA"/>
    <w:rsid w:val="00D37E35"/>
    <w:rsid w:val="00D37FC2"/>
    <w:rsid w:val="00D37FD8"/>
    <w:rsid w:val="00D40017"/>
    <w:rsid w:val="00D4028F"/>
    <w:rsid w:val="00D402A3"/>
    <w:rsid w:val="00D403D2"/>
    <w:rsid w:val="00D404D7"/>
    <w:rsid w:val="00D405D9"/>
    <w:rsid w:val="00D405F3"/>
    <w:rsid w:val="00D406C7"/>
    <w:rsid w:val="00D4077F"/>
    <w:rsid w:val="00D408B0"/>
    <w:rsid w:val="00D40C2C"/>
    <w:rsid w:val="00D40DAC"/>
    <w:rsid w:val="00D40FFA"/>
    <w:rsid w:val="00D41170"/>
    <w:rsid w:val="00D4120D"/>
    <w:rsid w:val="00D41211"/>
    <w:rsid w:val="00D418A6"/>
    <w:rsid w:val="00D41C24"/>
    <w:rsid w:val="00D41E50"/>
    <w:rsid w:val="00D421AC"/>
    <w:rsid w:val="00D4255A"/>
    <w:rsid w:val="00D426EC"/>
    <w:rsid w:val="00D42803"/>
    <w:rsid w:val="00D429DB"/>
    <w:rsid w:val="00D42AA2"/>
    <w:rsid w:val="00D42B8A"/>
    <w:rsid w:val="00D42D82"/>
    <w:rsid w:val="00D42DDC"/>
    <w:rsid w:val="00D42E45"/>
    <w:rsid w:val="00D42E67"/>
    <w:rsid w:val="00D430A9"/>
    <w:rsid w:val="00D43504"/>
    <w:rsid w:val="00D4354A"/>
    <w:rsid w:val="00D43934"/>
    <w:rsid w:val="00D43BB0"/>
    <w:rsid w:val="00D43F5F"/>
    <w:rsid w:val="00D43FDF"/>
    <w:rsid w:val="00D44001"/>
    <w:rsid w:val="00D44014"/>
    <w:rsid w:val="00D44114"/>
    <w:rsid w:val="00D441BC"/>
    <w:rsid w:val="00D4454B"/>
    <w:rsid w:val="00D445A6"/>
    <w:rsid w:val="00D446FE"/>
    <w:rsid w:val="00D448B3"/>
    <w:rsid w:val="00D449F1"/>
    <w:rsid w:val="00D44A4C"/>
    <w:rsid w:val="00D44AA8"/>
    <w:rsid w:val="00D44E21"/>
    <w:rsid w:val="00D44F11"/>
    <w:rsid w:val="00D44F94"/>
    <w:rsid w:val="00D44FB4"/>
    <w:rsid w:val="00D45277"/>
    <w:rsid w:val="00D45387"/>
    <w:rsid w:val="00D45426"/>
    <w:rsid w:val="00D45503"/>
    <w:rsid w:val="00D45528"/>
    <w:rsid w:val="00D45634"/>
    <w:rsid w:val="00D45740"/>
    <w:rsid w:val="00D45779"/>
    <w:rsid w:val="00D45780"/>
    <w:rsid w:val="00D45817"/>
    <w:rsid w:val="00D45901"/>
    <w:rsid w:val="00D45933"/>
    <w:rsid w:val="00D4594A"/>
    <w:rsid w:val="00D459DE"/>
    <w:rsid w:val="00D45A76"/>
    <w:rsid w:val="00D45D39"/>
    <w:rsid w:val="00D45E57"/>
    <w:rsid w:val="00D45E9E"/>
    <w:rsid w:val="00D45F3B"/>
    <w:rsid w:val="00D4621A"/>
    <w:rsid w:val="00D46282"/>
    <w:rsid w:val="00D46285"/>
    <w:rsid w:val="00D46412"/>
    <w:rsid w:val="00D4653A"/>
    <w:rsid w:val="00D465C5"/>
    <w:rsid w:val="00D46854"/>
    <w:rsid w:val="00D4686F"/>
    <w:rsid w:val="00D46A98"/>
    <w:rsid w:val="00D46AA2"/>
    <w:rsid w:val="00D46AC7"/>
    <w:rsid w:val="00D46B35"/>
    <w:rsid w:val="00D4717F"/>
    <w:rsid w:val="00D471D9"/>
    <w:rsid w:val="00D472C6"/>
    <w:rsid w:val="00D472D3"/>
    <w:rsid w:val="00D474AC"/>
    <w:rsid w:val="00D47597"/>
    <w:rsid w:val="00D476D2"/>
    <w:rsid w:val="00D4778D"/>
    <w:rsid w:val="00D477D4"/>
    <w:rsid w:val="00D47804"/>
    <w:rsid w:val="00D47A2A"/>
    <w:rsid w:val="00D47ACE"/>
    <w:rsid w:val="00D47CB7"/>
    <w:rsid w:val="00D47CCF"/>
    <w:rsid w:val="00D47E73"/>
    <w:rsid w:val="00D47FEE"/>
    <w:rsid w:val="00D50095"/>
    <w:rsid w:val="00D50341"/>
    <w:rsid w:val="00D5040C"/>
    <w:rsid w:val="00D504BA"/>
    <w:rsid w:val="00D504F3"/>
    <w:rsid w:val="00D505F7"/>
    <w:rsid w:val="00D50A41"/>
    <w:rsid w:val="00D50B1F"/>
    <w:rsid w:val="00D50BFD"/>
    <w:rsid w:val="00D50DC6"/>
    <w:rsid w:val="00D50E64"/>
    <w:rsid w:val="00D50E9F"/>
    <w:rsid w:val="00D512B9"/>
    <w:rsid w:val="00D513EB"/>
    <w:rsid w:val="00D514DB"/>
    <w:rsid w:val="00D515FF"/>
    <w:rsid w:val="00D516EA"/>
    <w:rsid w:val="00D517BA"/>
    <w:rsid w:val="00D51872"/>
    <w:rsid w:val="00D518BF"/>
    <w:rsid w:val="00D51918"/>
    <w:rsid w:val="00D51A6A"/>
    <w:rsid w:val="00D51B05"/>
    <w:rsid w:val="00D51C70"/>
    <w:rsid w:val="00D51C7B"/>
    <w:rsid w:val="00D51E9F"/>
    <w:rsid w:val="00D51F38"/>
    <w:rsid w:val="00D51F7F"/>
    <w:rsid w:val="00D5215D"/>
    <w:rsid w:val="00D52343"/>
    <w:rsid w:val="00D5248A"/>
    <w:rsid w:val="00D5259F"/>
    <w:rsid w:val="00D52635"/>
    <w:rsid w:val="00D52D9F"/>
    <w:rsid w:val="00D52F67"/>
    <w:rsid w:val="00D5318C"/>
    <w:rsid w:val="00D53220"/>
    <w:rsid w:val="00D53279"/>
    <w:rsid w:val="00D53297"/>
    <w:rsid w:val="00D532AA"/>
    <w:rsid w:val="00D53528"/>
    <w:rsid w:val="00D53665"/>
    <w:rsid w:val="00D5366E"/>
    <w:rsid w:val="00D53783"/>
    <w:rsid w:val="00D537DC"/>
    <w:rsid w:val="00D53976"/>
    <w:rsid w:val="00D53E2B"/>
    <w:rsid w:val="00D53FC8"/>
    <w:rsid w:val="00D5402C"/>
    <w:rsid w:val="00D54098"/>
    <w:rsid w:val="00D540A7"/>
    <w:rsid w:val="00D54323"/>
    <w:rsid w:val="00D54EDF"/>
    <w:rsid w:val="00D54F8B"/>
    <w:rsid w:val="00D54FD4"/>
    <w:rsid w:val="00D55406"/>
    <w:rsid w:val="00D554EF"/>
    <w:rsid w:val="00D55B13"/>
    <w:rsid w:val="00D55B86"/>
    <w:rsid w:val="00D55BCD"/>
    <w:rsid w:val="00D55E6F"/>
    <w:rsid w:val="00D55EAD"/>
    <w:rsid w:val="00D55ED3"/>
    <w:rsid w:val="00D561CF"/>
    <w:rsid w:val="00D566FD"/>
    <w:rsid w:val="00D56742"/>
    <w:rsid w:val="00D5676E"/>
    <w:rsid w:val="00D56780"/>
    <w:rsid w:val="00D567CF"/>
    <w:rsid w:val="00D56AB4"/>
    <w:rsid w:val="00D56C33"/>
    <w:rsid w:val="00D56D0A"/>
    <w:rsid w:val="00D56D5D"/>
    <w:rsid w:val="00D56F14"/>
    <w:rsid w:val="00D57145"/>
    <w:rsid w:val="00D57233"/>
    <w:rsid w:val="00D5735E"/>
    <w:rsid w:val="00D573E5"/>
    <w:rsid w:val="00D574C9"/>
    <w:rsid w:val="00D57662"/>
    <w:rsid w:val="00D57A01"/>
    <w:rsid w:val="00D57B1C"/>
    <w:rsid w:val="00D57E05"/>
    <w:rsid w:val="00D57E38"/>
    <w:rsid w:val="00D6004B"/>
    <w:rsid w:val="00D600D5"/>
    <w:rsid w:val="00D600D7"/>
    <w:rsid w:val="00D60238"/>
    <w:rsid w:val="00D6023B"/>
    <w:rsid w:val="00D60296"/>
    <w:rsid w:val="00D60402"/>
    <w:rsid w:val="00D604B0"/>
    <w:rsid w:val="00D604C6"/>
    <w:rsid w:val="00D6055A"/>
    <w:rsid w:val="00D6059B"/>
    <w:rsid w:val="00D605D3"/>
    <w:rsid w:val="00D605F8"/>
    <w:rsid w:val="00D607D6"/>
    <w:rsid w:val="00D607D8"/>
    <w:rsid w:val="00D60986"/>
    <w:rsid w:val="00D60D9A"/>
    <w:rsid w:val="00D6125E"/>
    <w:rsid w:val="00D6133D"/>
    <w:rsid w:val="00D614CD"/>
    <w:rsid w:val="00D6157A"/>
    <w:rsid w:val="00D61A55"/>
    <w:rsid w:val="00D61DEF"/>
    <w:rsid w:val="00D6200B"/>
    <w:rsid w:val="00D62012"/>
    <w:rsid w:val="00D62076"/>
    <w:rsid w:val="00D62148"/>
    <w:rsid w:val="00D623FE"/>
    <w:rsid w:val="00D62428"/>
    <w:rsid w:val="00D62431"/>
    <w:rsid w:val="00D62463"/>
    <w:rsid w:val="00D62593"/>
    <w:rsid w:val="00D6276A"/>
    <w:rsid w:val="00D6286A"/>
    <w:rsid w:val="00D628E6"/>
    <w:rsid w:val="00D629AA"/>
    <w:rsid w:val="00D629C0"/>
    <w:rsid w:val="00D62AF3"/>
    <w:rsid w:val="00D62DC4"/>
    <w:rsid w:val="00D62FF6"/>
    <w:rsid w:val="00D6321D"/>
    <w:rsid w:val="00D6324F"/>
    <w:rsid w:val="00D63390"/>
    <w:rsid w:val="00D633FE"/>
    <w:rsid w:val="00D6352B"/>
    <w:rsid w:val="00D63779"/>
    <w:rsid w:val="00D639CB"/>
    <w:rsid w:val="00D63AB7"/>
    <w:rsid w:val="00D63D57"/>
    <w:rsid w:val="00D64172"/>
    <w:rsid w:val="00D64374"/>
    <w:rsid w:val="00D64393"/>
    <w:rsid w:val="00D64604"/>
    <w:rsid w:val="00D6483A"/>
    <w:rsid w:val="00D64918"/>
    <w:rsid w:val="00D64ACE"/>
    <w:rsid w:val="00D64B27"/>
    <w:rsid w:val="00D64CE1"/>
    <w:rsid w:val="00D64D7A"/>
    <w:rsid w:val="00D6502A"/>
    <w:rsid w:val="00D652CA"/>
    <w:rsid w:val="00D65358"/>
    <w:rsid w:val="00D6540D"/>
    <w:rsid w:val="00D6541A"/>
    <w:rsid w:val="00D654FA"/>
    <w:rsid w:val="00D6551E"/>
    <w:rsid w:val="00D65629"/>
    <w:rsid w:val="00D65B4B"/>
    <w:rsid w:val="00D65B60"/>
    <w:rsid w:val="00D65C08"/>
    <w:rsid w:val="00D65C0E"/>
    <w:rsid w:val="00D660FA"/>
    <w:rsid w:val="00D66142"/>
    <w:rsid w:val="00D6638E"/>
    <w:rsid w:val="00D663D9"/>
    <w:rsid w:val="00D6675E"/>
    <w:rsid w:val="00D66763"/>
    <w:rsid w:val="00D668C6"/>
    <w:rsid w:val="00D6693E"/>
    <w:rsid w:val="00D66960"/>
    <w:rsid w:val="00D66971"/>
    <w:rsid w:val="00D6697C"/>
    <w:rsid w:val="00D66A89"/>
    <w:rsid w:val="00D66AA0"/>
    <w:rsid w:val="00D66AA1"/>
    <w:rsid w:val="00D66C3C"/>
    <w:rsid w:val="00D66DF0"/>
    <w:rsid w:val="00D66E47"/>
    <w:rsid w:val="00D67041"/>
    <w:rsid w:val="00D67493"/>
    <w:rsid w:val="00D67698"/>
    <w:rsid w:val="00D70072"/>
    <w:rsid w:val="00D705CB"/>
    <w:rsid w:val="00D70686"/>
    <w:rsid w:val="00D7074C"/>
    <w:rsid w:val="00D7077A"/>
    <w:rsid w:val="00D7098A"/>
    <w:rsid w:val="00D70A3B"/>
    <w:rsid w:val="00D70E78"/>
    <w:rsid w:val="00D71127"/>
    <w:rsid w:val="00D711E8"/>
    <w:rsid w:val="00D713E5"/>
    <w:rsid w:val="00D714D3"/>
    <w:rsid w:val="00D716C2"/>
    <w:rsid w:val="00D71ADA"/>
    <w:rsid w:val="00D71BE7"/>
    <w:rsid w:val="00D71FA5"/>
    <w:rsid w:val="00D71FF3"/>
    <w:rsid w:val="00D7220D"/>
    <w:rsid w:val="00D72260"/>
    <w:rsid w:val="00D72357"/>
    <w:rsid w:val="00D7241D"/>
    <w:rsid w:val="00D7263C"/>
    <w:rsid w:val="00D72641"/>
    <w:rsid w:val="00D729E6"/>
    <w:rsid w:val="00D72B20"/>
    <w:rsid w:val="00D72B40"/>
    <w:rsid w:val="00D73171"/>
    <w:rsid w:val="00D7320E"/>
    <w:rsid w:val="00D732F6"/>
    <w:rsid w:val="00D73473"/>
    <w:rsid w:val="00D73481"/>
    <w:rsid w:val="00D734A9"/>
    <w:rsid w:val="00D73760"/>
    <w:rsid w:val="00D738C6"/>
    <w:rsid w:val="00D739F2"/>
    <w:rsid w:val="00D73A4F"/>
    <w:rsid w:val="00D73AA4"/>
    <w:rsid w:val="00D73C05"/>
    <w:rsid w:val="00D73E57"/>
    <w:rsid w:val="00D73FB3"/>
    <w:rsid w:val="00D73FE5"/>
    <w:rsid w:val="00D740B6"/>
    <w:rsid w:val="00D740BC"/>
    <w:rsid w:val="00D74122"/>
    <w:rsid w:val="00D74296"/>
    <w:rsid w:val="00D74301"/>
    <w:rsid w:val="00D7435B"/>
    <w:rsid w:val="00D7438B"/>
    <w:rsid w:val="00D745C3"/>
    <w:rsid w:val="00D748E7"/>
    <w:rsid w:val="00D7491E"/>
    <w:rsid w:val="00D74F73"/>
    <w:rsid w:val="00D75016"/>
    <w:rsid w:val="00D75071"/>
    <w:rsid w:val="00D750D8"/>
    <w:rsid w:val="00D752FF"/>
    <w:rsid w:val="00D75355"/>
    <w:rsid w:val="00D753BF"/>
    <w:rsid w:val="00D75763"/>
    <w:rsid w:val="00D757BB"/>
    <w:rsid w:val="00D75816"/>
    <w:rsid w:val="00D7592E"/>
    <w:rsid w:val="00D75AEE"/>
    <w:rsid w:val="00D75C05"/>
    <w:rsid w:val="00D75C69"/>
    <w:rsid w:val="00D75F21"/>
    <w:rsid w:val="00D75FBA"/>
    <w:rsid w:val="00D75FBE"/>
    <w:rsid w:val="00D7609D"/>
    <w:rsid w:val="00D7633C"/>
    <w:rsid w:val="00D7645B"/>
    <w:rsid w:val="00D764D3"/>
    <w:rsid w:val="00D7675B"/>
    <w:rsid w:val="00D76796"/>
    <w:rsid w:val="00D76817"/>
    <w:rsid w:val="00D76AD8"/>
    <w:rsid w:val="00D76AF3"/>
    <w:rsid w:val="00D76B16"/>
    <w:rsid w:val="00D76B70"/>
    <w:rsid w:val="00D76B76"/>
    <w:rsid w:val="00D76DC2"/>
    <w:rsid w:val="00D76ED4"/>
    <w:rsid w:val="00D770D8"/>
    <w:rsid w:val="00D770E6"/>
    <w:rsid w:val="00D772C9"/>
    <w:rsid w:val="00D776F0"/>
    <w:rsid w:val="00D778A8"/>
    <w:rsid w:val="00D77925"/>
    <w:rsid w:val="00D77DFC"/>
    <w:rsid w:val="00D80022"/>
    <w:rsid w:val="00D800F5"/>
    <w:rsid w:val="00D804A3"/>
    <w:rsid w:val="00D804BA"/>
    <w:rsid w:val="00D80600"/>
    <w:rsid w:val="00D8087D"/>
    <w:rsid w:val="00D80A21"/>
    <w:rsid w:val="00D80A70"/>
    <w:rsid w:val="00D80B08"/>
    <w:rsid w:val="00D80BE9"/>
    <w:rsid w:val="00D80C88"/>
    <w:rsid w:val="00D80F9B"/>
    <w:rsid w:val="00D813CE"/>
    <w:rsid w:val="00D814FE"/>
    <w:rsid w:val="00D81683"/>
    <w:rsid w:val="00D816B6"/>
    <w:rsid w:val="00D81848"/>
    <w:rsid w:val="00D81C31"/>
    <w:rsid w:val="00D81C67"/>
    <w:rsid w:val="00D81CF4"/>
    <w:rsid w:val="00D81DA5"/>
    <w:rsid w:val="00D82135"/>
    <w:rsid w:val="00D822C0"/>
    <w:rsid w:val="00D82388"/>
    <w:rsid w:val="00D825E5"/>
    <w:rsid w:val="00D82713"/>
    <w:rsid w:val="00D827B8"/>
    <w:rsid w:val="00D8283A"/>
    <w:rsid w:val="00D82A42"/>
    <w:rsid w:val="00D82ACF"/>
    <w:rsid w:val="00D82B43"/>
    <w:rsid w:val="00D82CF9"/>
    <w:rsid w:val="00D82D3A"/>
    <w:rsid w:val="00D82D90"/>
    <w:rsid w:val="00D82E64"/>
    <w:rsid w:val="00D82F01"/>
    <w:rsid w:val="00D82FB6"/>
    <w:rsid w:val="00D831D1"/>
    <w:rsid w:val="00D832AC"/>
    <w:rsid w:val="00D832CD"/>
    <w:rsid w:val="00D832FD"/>
    <w:rsid w:val="00D83494"/>
    <w:rsid w:val="00D83519"/>
    <w:rsid w:val="00D83669"/>
    <w:rsid w:val="00D8374D"/>
    <w:rsid w:val="00D83794"/>
    <w:rsid w:val="00D837C3"/>
    <w:rsid w:val="00D83BB4"/>
    <w:rsid w:val="00D83CFC"/>
    <w:rsid w:val="00D83E82"/>
    <w:rsid w:val="00D83F5F"/>
    <w:rsid w:val="00D84087"/>
    <w:rsid w:val="00D84220"/>
    <w:rsid w:val="00D842E8"/>
    <w:rsid w:val="00D8450E"/>
    <w:rsid w:val="00D8454E"/>
    <w:rsid w:val="00D8481B"/>
    <w:rsid w:val="00D849FD"/>
    <w:rsid w:val="00D84BE6"/>
    <w:rsid w:val="00D84E2A"/>
    <w:rsid w:val="00D84E4D"/>
    <w:rsid w:val="00D84E9B"/>
    <w:rsid w:val="00D8506C"/>
    <w:rsid w:val="00D85124"/>
    <w:rsid w:val="00D854DC"/>
    <w:rsid w:val="00D855E3"/>
    <w:rsid w:val="00D857AD"/>
    <w:rsid w:val="00D8587D"/>
    <w:rsid w:val="00D85889"/>
    <w:rsid w:val="00D85949"/>
    <w:rsid w:val="00D85962"/>
    <w:rsid w:val="00D85A14"/>
    <w:rsid w:val="00D85A44"/>
    <w:rsid w:val="00D85B62"/>
    <w:rsid w:val="00D85B83"/>
    <w:rsid w:val="00D85BD6"/>
    <w:rsid w:val="00D85F5A"/>
    <w:rsid w:val="00D85F9B"/>
    <w:rsid w:val="00D85FE6"/>
    <w:rsid w:val="00D861F8"/>
    <w:rsid w:val="00D863AE"/>
    <w:rsid w:val="00D86562"/>
    <w:rsid w:val="00D86579"/>
    <w:rsid w:val="00D865BF"/>
    <w:rsid w:val="00D86956"/>
    <w:rsid w:val="00D8696C"/>
    <w:rsid w:val="00D86A4B"/>
    <w:rsid w:val="00D86D65"/>
    <w:rsid w:val="00D86DA7"/>
    <w:rsid w:val="00D86FA4"/>
    <w:rsid w:val="00D87018"/>
    <w:rsid w:val="00D871AD"/>
    <w:rsid w:val="00D874ED"/>
    <w:rsid w:val="00D877E4"/>
    <w:rsid w:val="00D87AAD"/>
    <w:rsid w:val="00D87AFA"/>
    <w:rsid w:val="00D87AFB"/>
    <w:rsid w:val="00D87E8E"/>
    <w:rsid w:val="00D87EB4"/>
    <w:rsid w:val="00D9001A"/>
    <w:rsid w:val="00D90160"/>
    <w:rsid w:val="00D90291"/>
    <w:rsid w:val="00D90670"/>
    <w:rsid w:val="00D906F5"/>
    <w:rsid w:val="00D9076A"/>
    <w:rsid w:val="00D90797"/>
    <w:rsid w:val="00D908A0"/>
    <w:rsid w:val="00D90AE3"/>
    <w:rsid w:val="00D90DD0"/>
    <w:rsid w:val="00D91060"/>
    <w:rsid w:val="00D9115F"/>
    <w:rsid w:val="00D911A6"/>
    <w:rsid w:val="00D91285"/>
    <w:rsid w:val="00D9136D"/>
    <w:rsid w:val="00D9143B"/>
    <w:rsid w:val="00D914AC"/>
    <w:rsid w:val="00D91731"/>
    <w:rsid w:val="00D918F3"/>
    <w:rsid w:val="00D9196C"/>
    <w:rsid w:val="00D91C72"/>
    <w:rsid w:val="00D91E18"/>
    <w:rsid w:val="00D91F09"/>
    <w:rsid w:val="00D92087"/>
    <w:rsid w:val="00D9217A"/>
    <w:rsid w:val="00D92233"/>
    <w:rsid w:val="00D92436"/>
    <w:rsid w:val="00D9256C"/>
    <w:rsid w:val="00D92692"/>
    <w:rsid w:val="00D9275E"/>
    <w:rsid w:val="00D9275F"/>
    <w:rsid w:val="00D92848"/>
    <w:rsid w:val="00D928A0"/>
    <w:rsid w:val="00D9295B"/>
    <w:rsid w:val="00D92987"/>
    <w:rsid w:val="00D92B4A"/>
    <w:rsid w:val="00D92BBC"/>
    <w:rsid w:val="00D92DCE"/>
    <w:rsid w:val="00D92E09"/>
    <w:rsid w:val="00D93174"/>
    <w:rsid w:val="00D931AB"/>
    <w:rsid w:val="00D9375F"/>
    <w:rsid w:val="00D938F4"/>
    <w:rsid w:val="00D9397C"/>
    <w:rsid w:val="00D93A32"/>
    <w:rsid w:val="00D93A46"/>
    <w:rsid w:val="00D93B90"/>
    <w:rsid w:val="00D93E9F"/>
    <w:rsid w:val="00D93F70"/>
    <w:rsid w:val="00D94015"/>
    <w:rsid w:val="00D9429F"/>
    <w:rsid w:val="00D943AB"/>
    <w:rsid w:val="00D943D8"/>
    <w:rsid w:val="00D94467"/>
    <w:rsid w:val="00D9470D"/>
    <w:rsid w:val="00D947A4"/>
    <w:rsid w:val="00D947E2"/>
    <w:rsid w:val="00D94BD4"/>
    <w:rsid w:val="00D94D7A"/>
    <w:rsid w:val="00D94E40"/>
    <w:rsid w:val="00D94EB3"/>
    <w:rsid w:val="00D94F10"/>
    <w:rsid w:val="00D954DD"/>
    <w:rsid w:val="00D954E5"/>
    <w:rsid w:val="00D955B3"/>
    <w:rsid w:val="00D95673"/>
    <w:rsid w:val="00D9567B"/>
    <w:rsid w:val="00D9575B"/>
    <w:rsid w:val="00D9577B"/>
    <w:rsid w:val="00D95879"/>
    <w:rsid w:val="00D95CA8"/>
    <w:rsid w:val="00D95F03"/>
    <w:rsid w:val="00D960DB"/>
    <w:rsid w:val="00D96139"/>
    <w:rsid w:val="00D9619D"/>
    <w:rsid w:val="00D96251"/>
    <w:rsid w:val="00D963D3"/>
    <w:rsid w:val="00D96615"/>
    <w:rsid w:val="00D966F6"/>
    <w:rsid w:val="00D9681B"/>
    <w:rsid w:val="00D9681C"/>
    <w:rsid w:val="00D96BF0"/>
    <w:rsid w:val="00D96C0B"/>
    <w:rsid w:val="00D96CA0"/>
    <w:rsid w:val="00D96DCB"/>
    <w:rsid w:val="00D97021"/>
    <w:rsid w:val="00D972E8"/>
    <w:rsid w:val="00D972F1"/>
    <w:rsid w:val="00D97496"/>
    <w:rsid w:val="00D974E2"/>
    <w:rsid w:val="00D9759A"/>
    <w:rsid w:val="00D9783A"/>
    <w:rsid w:val="00D978BB"/>
    <w:rsid w:val="00D97969"/>
    <w:rsid w:val="00D97A72"/>
    <w:rsid w:val="00D97A91"/>
    <w:rsid w:val="00D97B42"/>
    <w:rsid w:val="00D97CC5"/>
    <w:rsid w:val="00D97DA4"/>
    <w:rsid w:val="00DA00A8"/>
    <w:rsid w:val="00DA0235"/>
    <w:rsid w:val="00DA03AD"/>
    <w:rsid w:val="00DA060D"/>
    <w:rsid w:val="00DA070B"/>
    <w:rsid w:val="00DA07D5"/>
    <w:rsid w:val="00DA0CDF"/>
    <w:rsid w:val="00DA0DCC"/>
    <w:rsid w:val="00DA0EAD"/>
    <w:rsid w:val="00DA0F93"/>
    <w:rsid w:val="00DA1097"/>
    <w:rsid w:val="00DA10EC"/>
    <w:rsid w:val="00DA129E"/>
    <w:rsid w:val="00DA12E7"/>
    <w:rsid w:val="00DA1566"/>
    <w:rsid w:val="00DA156A"/>
    <w:rsid w:val="00DA1591"/>
    <w:rsid w:val="00DA1607"/>
    <w:rsid w:val="00DA168B"/>
    <w:rsid w:val="00DA1A0C"/>
    <w:rsid w:val="00DA1A82"/>
    <w:rsid w:val="00DA1AE6"/>
    <w:rsid w:val="00DA1E10"/>
    <w:rsid w:val="00DA1F45"/>
    <w:rsid w:val="00DA2071"/>
    <w:rsid w:val="00DA2157"/>
    <w:rsid w:val="00DA216B"/>
    <w:rsid w:val="00DA2360"/>
    <w:rsid w:val="00DA270D"/>
    <w:rsid w:val="00DA2ACD"/>
    <w:rsid w:val="00DA2FE5"/>
    <w:rsid w:val="00DA325C"/>
    <w:rsid w:val="00DA3282"/>
    <w:rsid w:val="00DA328C"/>
    <w:rsid w:val="00DA34B3"/>
    <w:rsid w:val="00DA34E2"/>
    <w:rsid w:val="00DA3685"/>
    <w:rsid w:val="00DA36D6"/>
    <w:rsid w:val="00DA37EC"/>
    <w:rsid w:val="00DA3AA1"/>
    <w:rsid w:val="00DA3AF9"/>
    <w:rsid w:val="00DA3C2B"/>
    <w:rsid w:val="00DA3DCC"/>
    <w:rsid w:val="00DA3E53"/>
    <w:rsid w:val="00DA3EB3"/>
    <w:rsid w:val="00DA4129"/>
    <w:rsid w:val="00DA4224"/>
    <w:rsid w:val="00DA47A4"/>
    <w:rsid w:val="00DA4848"/>
    <w:rsid w:val="00DA484E"/>
    <w:rsid w:val="00DA489B"/>
    <w:rsid w:val="00DA4AA4"/>
    <w:rsid w:val="00DA4E7D"/>
    <w:rsid w:val="00DA4E93"/>
    <w:rsid w:val="00DA4F64"/>
    <w:rsid w:val="00DA4FC4"/>
    <w:rsid w:val="00DA508D"/>
    <w:rsid w:val="00DA50F0"/>
    <w:rsid w:val="00DA5168"/>
    <w:rsid w:val="00DA5693"/>
    <w:rsid w:val="00DA576A"/>
    <w:rsid w:val="00DA5844"/>
    <w:rsid w:val="00DA58FC"/>
    <w:rsid w:val="00DA594B"/>
    <w:rsid w:val="00DA5B07"/>
    <w:rsid w:val="00DA5BA6"/>
    <w:rsid w:val="00DA5D54"/>
    <w:rsid w:val="00DA5E68"/>
    <w:rsid w:val="00DA5E90"/>
    <w:rsid w:val="00DA5EF3"/>
    <w:rsid w:val="00DA6260"/>
    <w:rsid w:val="00DA62BB"/>
    <w:rsid w:val="00DA63C5"/>
    <w:rsid w:val="00DA641F"/>
    <w:rsid w:val="00DA66B0"/>
    <w:rsid w:val="00DA67A6"/>
    <w:rsid w:val="00DA6AFA"/>
    <w:rsid w:val="00DA6B15"/>
    <w:rsid w:val="00DA6BCE"/>
    <w:rsid w:val="00DA6C32"/>
    <w:rsid w:val="00DA6CB2"/>
    <w:rsid w:val="00DA7007"/>
    <w:rsid w:val="00DA71C7"/>
    <w:rsid w:val="00DA733C"/>
    <w:rsid w:val="00DA7670"/>
    <w:rsid w:val="00DA76F5"/>
    <w:rsid w:val="00DA770E"/>
    <w:rsid w:val="00DA7878"/>
    <w:rsid w:val="00DA79F1"/>
    <w:rsid w:val="00DAF934"/>
    <w:rsid w:val="00DB00AC"/>
    <w:rsid w:val="00DB0101"/>
    <w:rsid w:val="00DB011E"/>
    <w:rsid w:val="00DB02C8"/>
    <w:rsid w:val="00DB03BB"/>
    <w:rsid w:val="00DB048A"/>
    <w:rsid w:val="00DB04E9"/>
    <w:rsid w:val="00DB04EC"/>
    <w:rsid w:val="00DB07A4"/>
    <w:rsid w:val="00DB07E3"/>
    <w:rsid w:val="00DB094B"/>
    <w:rsid w:val="00DB096F"/>
    <w:rsid w:val="00DB0A29"/>
    <w:rsid w:val="00DB0A6B"/>
    <w:rsid w:val="00DB0CA2"/>
    <w:rsid w:val="00DB0D01"/>
    <w:rsid w:val="00DB0DE2"/>
    <w:rsid w:val="00DB0E88"/>
    <w:rsid w:val="00DB0E90"/>
    <w:rsid w:val="00DB1048"/>
    <w:rsid w:val="00DB109B"/>
    <w:rsid w:val="00DB10DC"/>
    <w:rsid w:val="00DB128A"/>
    <w:rsid w:val="00DB1303"/>
    <w:rsid w:val="00DB131A"/>
    <w:rsid w:val="00DB1377"/>
    <w:rsid w:val="00DB1502"/>
    <w:rsid w:val="00DB1A12"/>
    <w:rsid w:val="00DB1BCD"/>
    <w:rsid w:val="00DB1D2F"/>
    <w:rsid w:val="00DB1FA5"/>
    <w:rsid w:val="00DB201A"/>
    <w:rsid w:val="00DB21BB"/>
    <w:rsid w:val="00DB2241"/>
    <w:rsid w:val="00DB248C"/>
    <w:rsid w:val="00DB250D"/>
    <w:rsid w:val="00DB2549"/>
    <w:rsid w:val="00DB27B7"/>
    <w:rsid w:val="00DB2852"/>
    <w:rsid w:val="00DB285D"/>
    <w:rsid w:val="00DB28A5"/>
    <w:rsid w:val="00DB28E8"/>
    <w:rsid w:val="00DB29B1"/>
    <w:rsid w:val="00DB29C5"/>
    <w:rsid w:val="00DB2A1A"/>
    <w:rsid w:val="00DB2A4D"/>
    <w:rsid w:val="00DB2A6A"/>
    <w:rsid w:val="00DB2A97"/>
    <w:rsid w:val="00DB2DF6"/>
    <w:rsid w:val="00DB2E00"/>
    <w:rsid w:val="00DB2EED"/>
    <w:rsid w:val="00DB2F51"/>
    <w:rsid w:val="00DB2FC6"/>
    <w:rsid w:val="00DB3035"/>
    <w:rsid w:val="00DB31F5"/>
    <w:rsid w:val="00DB32E7"/>
    <w:rsid w:val="00DB3431"/>
    <w:rsid w:val="00DB358C"/>
    <w:rsid w:val="00DB35E8"/>
    <w:rsid w:val="00DB3644"/>
    <w:rsid w:val="00DB36C8"/>
    <w:rsid w:val="00DB374C"/>
    <w:rsid w:val="00DB3811"/>
    <w:rsid w:val="00DB3A40"/>
    <w:rsid w:val="00DB3C3C"/>
    <w:rsid w:val="00DB3C3D"/>
    <w:rsid w:val="00DB3C59"/>
    <w:rsid w:val="00DB3CD6"/>
    <w:rsid w:val="00DB3F0D"/>
    <w:rsid w:val="00DB3FBF"/>
    <w:rsid w:val="00DB4875"/>
    <w:rsid w:val="00DB4883"/>
    <w:rsid w:val="00DB4917"/>
    <w:rsid w:val="00DB4A3E"/>
    <w:rsid w:val="00DB4AE8"/>
    <w:rsid w:val="00DB4BC8"/>
    <w:rsid w:val="00DB4D50"/>
    <w:rsid w:val="00DB4E53"/>
    <w:rsid w:val="00DB4F54"/>
    <w:rsid w:val="00DB4FDF"/>
    <w:rsid w:val="00DB5163"/>
    <w:rsid w:val="00DB534F"/>
    <w:rsid w:val="00DB54A3"/>
    <w:rsid w:val="00DB5641"/>
    <w:rsid w:val="00DB57BB"/>
    <w:rsid w:val="00DB585F"/>
    <w:rsid w:val="00DB59D5"/>
    <w:rsid w:val="00DB5B18"/>
    <w:rsid w:val="00DB5B96"/>
    <w:rsid w:val="00DB5D4C"/>
    <w:rsid w:val="00DB62D0"/>
    <w:rsid w:val="00DB6302"/>
    <w:rsid w:val="00DB630F"/>
    <w:rsid w:val="00DB635E"/>
    <w:rsid w:val="00DB64A8"/>
    <w:rsid w:val="00DB6534"/>
    <w:rsid w:val="00DB66E8"/>
    <w:rsid w:val="00DB674B"/>
    <w:rsid w:val="00DB67FB"/>
    <w:rsid w:val="00DB68AE"/>
    <w:rsid w:val="00DB69F6"/>
    <w:rsid w:val="00DB6A22"/>
    <w:rsid w:val="00DB6ABB"/>
    <w:rsid w:val="00DB6D8E"/>
    <w:rsid w:val="00DB6E54"/>
    <w:rsid w:val="00DB6F3E"/>
    <w:rsid w:val="00DB6F45"/>
    <w:rsid w:val="00DB6F4B"/>
    <w:rsid w:val="00DB6FF8"/>
    <w:rsid w:val="00DB6FFE"/>
    <w:rsid w:val="00DB7025"/>
    <w:rsid w:val="00DB70D1"/>
    <w:rsid w:val="00DB70E9"/>
    <w:rsid w:val="00DB729F"/>
    <w:rsid w:val="00DB72A7"/>
    <w:rsid w:val="00DB74EC"/>
    <w:rsid w:val="00DB751A"/>
    <w:rsid w:val="00DB759E"/>
    <w:rsid w:val="00DB7608"/>
    <w:rsid w:val="00DB765D"/>
    <w:rsid w:val="00DB7BA0"/>
    <w:rsid w:val="00DB7C38"/>
    <w:rsid w:val="00DB7E4E"/>
    <w:rsid w:val="00DB7E4F"/>
    <w:rsid w:val="00DC00B7"/>
    <w:rsid w:val="00DC03CE"/>
    <w:rsid w:val="00DC045A"/>
    <w:rsid w:val="00DC050F"/>
    <w:rsid w:val="00DC0554"/>
    <w:rsid w:val="00DC05FF"/>
    <w:rsid w:val="00DC06A6"/>
    <w:rsid w:val="00DC08BD"/>
    <w:rsid w:val="00DC099A"/>
    <w:rsid w:val="00DC0AC0"/>
    <w:rsid w:val="00DC0BC2"/>
    <w:rsid w:val="00DC0CFC"/>
    <w:rsid w:val="00DC0DDD"/>
    <w:rsid w:val="00DC0E96"/>
    <w:rsid w:val="00DC1079"/>
    <w:rsid w:val="00DC10CC"/>
    <w:rsid w:val="00DC11C6"/>
    <w:rsid w:val="00DC11D3"/>
    <w:rsid w:val="00DC128F"/>
    <w:rsid w:val="00DC12FD"/>
    <w:rsid w:val="00DC13C5"/>
    <w:rsid w:val="00DC14F3"/>
    <w:rsid w:val="00DC1546"/>
    <w:rsid w:val="00DC1592"/>
    <w:rsid w:val="00DC177C"/>
    <w:rsid w:val="00DC1ABD"/>
    <w:rsid w:val="00DC21D4"/>
    <w:rsid w:val="00DC221D"/>
    <w:rsid w:val="00DC22FD"/>
    <w:rsid w:val="00DC2565"/>
    <w:rsid w:val="00DC25CB"/>
    <w:rsid w:val="00DC2862"/>
    <w:rsid w:val="00DC2AD6"/>
    <w:rsid w:val="00DC2C13"/>
    <w:rsid w:val="00DC2C4A"/>
    <w:rsid w:val="00DC2C5D"/>
    <w:rsid w:val="00DC2CAA"/>
    <w:rsid w:val="00DC2CD7"/>
    <w:rsid w:val="00DC2EE5"/>
    <w:rsid w:val="00DC2F8A"/>
    <w:rsid w:val="00DC307F"/>
    <w:rsid w:val="00DC3143"/>
    <w:rsid w:val="00DC31FF"/>
    <w:rsid w:val="00DC3300"/>
    <w:rsid w:val="00DC3563"/>
    <w:rsid w:val="00DC356B"/>
    <w:rsid w:val="00DC3ADD"/>
    <w:rsid w:val="00DC3AF9"/>
    <w:rsid w:val="00DC3C63"/>
    <w:rsid w:val="00DC410C"/>
    <w:rsid w:val="00DC4622"/>
    <w:rsid w:val="00DC4768"/>
    <w:rsid w:val="00DC4BF0"/>
    <w:rsid w:val="00DC5106"/>
    <w:rsid w:val="00DC5140"/>
    <w:rsid w:val="00DC5148"/>
    <w:rsid w:val="00DC51BF"/>
    <w:rsid w:val="00DC55A0"/>
    <w:rsid w:val="00DC55B2"/>
    <w:rsid w:val="00DC5797"/>
    <w:rsid w:val="00DC5944"/>
    <w:rsid w:val="00DC59CC"/>
    <w:rsid w:val="00DC5ADB"/>
    <w:rsid w:val="00DC5BA7"/>
    <w:rsid w:val="00DC5D33"/>
    <w:rsid w:val="00DC5D44"/>
    <w:rsid w:val="00DC5D88"/>
    <w:rsid w:val="00DC5DDB"/>
    <w:rsid w:val="00DC5E93"/>
    <w:rsid w:val="00DC60AB"/>
    <w:rsid w:val="00DC639D"/>
    <w:rsid w:val="00DC64C0"/>
    <w:rsid w:val="00DC65FA"/>
    <w:rsid w:val="00DC65FE"/>
    <w:rsid w:val="00DC67B3"/>
    <w:rsid w:val="00DC69D7"/>
    <w:rsid w:val="00DC6AB7"/>
    <w:rsid w:val="00DC6BB7"/>
    <w:rsid w:val="00DC6ED3"/>
    <w:rsid w:val="00DC70DA"/>
    <w:rsid w:val="00DC7973"/>
    <w:rsid w:val="00DC79C9"/>
    <w:rsid w:val="00DC79F2"/>
    <w:rsid w:val="00DC7A1A"/>
    <w:rsid w:val="00DC7B0B"/>
    <w:rsid w:val="00DC7B2C"/>
    <w:rsid w:val="00DC7F7B"/>
    <w:rsid w:val="00DD0014"/>
    <w:rsid w:val="00DD001F"/>
    <w:rsid w:val="00DD008A"/>
    <w:rsid w:val="00DD0160"/>
    <w:rsid w:val="00DD0183"/>
    <w:rsid w:val="00DD01A6"/>
    <w:rsid w:val="00DD0478"/>
    <w:rsid w:val="00DD05FE"/>
    <w:rsid w:val="00DD0813"/>
    <w:rsid w:val="00DD0A28"/>
    <w:rsid w:val="00DD0A5E"/>
    <w:rsid w:val="00DD0B17"/>
    <w:rsid w:val="00DD0D27"/>
    <w:rsid w:val="00DD0EE6"/>
    <w:rsid w:val="00DD1695"/>
    <w:rsid w:val="00DD16E1"/>
    <w:rsid w:val="00DD1768"/>
    <w:rsid w:val="00DD1943"/>
    <w:rsid w:val="00DD1A7D"/>
    <w:rsid w:val="00DD1C57"/>
    <w:rsid w:val="00DD1CF7"/>
    <w:rsid w:val="00DD1D17"/>
    <w:rsid w:val="00DD1E51"/>
    <w:rsid w:val="00DD2185"/>
    <w:rsid w:val="00DD21A8"/>
    <w:rsid w:val="00DD21FD"/>
    <w:rsid w:val="00DD2490"/>
    <w:rsid w:val="00DD2499"/>
    <w:rsid w:val="00DD26FC"/>
    <w:rsid w:val="00DD2823"/>
    <w:rsid w:val="00DD2A9F"/>
    <w:rsid w:val="00DD2C8A"/>
    <w:rsid w:val="00DD3622"/>
    <w:rsid w:val="00DD3711"/>
    <w:rsid w:val="00DD37E5"/>
    <w:rsid w:val="00DD3844"/>
    <w:rsid w:val="00DD38D9"/>
    <w:rsid w:val="00DD3953"/>
    <w:rsid w:val="00DD39D3"/>
    <w:rsid w:val="00DD3DB3"/>
    <w:rsid w:val="00DD3EBE"/>
    <w:rsid w:val="00DD3FEF"/>
    <w:rsid w:val="00DD405E"/>
    <w:rsid w:val="00DD4124"/>
    <w:rsid w:val="00DD4164"/>
    <w:rsid w:val="00DD433E"/>
    <w:rsid w:val="00DD434E"/>
    <w:rsid w:val="00DD4364"/>
    <w:rsid w:val="00DD43EC"/>
    <w:rsid w:val="00DD46CF"/>
    <w:rsid w:val="00DD47BD"/>
    <w:rsid w:val="00DD49CB"/>
    <w:rsid w:val="00DD4A6E"/>
    <w:rsid w:val="00DD4ADA"/>
    <w:rsid w:val="00DD4AF3"/>
    <w:rsid w:val="00DD4C56"/>
    <w:rsid w:val="00DD4E96"/>
    <w:rsid w:val="00DD4F05"/>
    <w:rsid w:val="00DD50AD"/>
    <w:rsid w:val="00DD53A1"/>
    <w:rsid w:val="00DD54A4"/>
    <w:rsid w:val="00DD554E"/>
    <w:rsid w:val="00DD58BD"/>
    <w:rsid w:val="00DD5A56"/>
    <w:rsid w:val="00DD5A6D"/>
    <w:rsid w:val="00DD5A80"/>
    <w:rsid w:val="00DD5CA1"/>
    <w:rsid w:val="00DD5E65"/>
    <w:rsid w:val="00DD5EB8"/>
    <w:rsid w:val="00DD5F74"/>
    <w:rsid w:val="00DD629D"/>
    <w:rsid w:val="00DD66A3"/>
    <w:rsid w:val="00DD684A"/>
    <w:rsid w:val="00DD6959"/>
    <w:rsid w:val="00DD6A85"/>
    <w:rsid w:val="00DD6ECA"/>
    <w:rsid w:val="00DD6FBE"/>
    <w:rsid w:val="00DD7033"/>
    <w:rsid w:val="00DD73F8"/>
    <w:rsid w:val="00DD76E9"/>
    <w:rsid w:val="00DD7784"/>
    <w:rsid w:val="00DD77F8"/>
    <w:rsid w:val="00DD7845"/>
    <w:rsid w:val="00DD7996"/>
    <w:rsid w:val="00DD7A80"/>
    <w:rsid w:val="00DD7B6A"/>
    <w:rsid w:val="00DD7C88"/>
    <w:rsid w:val="00DD7E0D"/>
    <w:rsid w:val="00DD7E12"/>
    <w:rsid w:val="00DD7ECF"/>
    <w:rsid w:val="00DD7F96"/>
    <w:rsid w:val="00DE01E5"/>
    <w:rsid w:val="00DE0303"/>
    <w:rsid w:val="00DE034F"/>
    <w:rsid w:val="00DE03A9"/>
    <w:rsid w:val="00DE0586"/>
    <w:rsid w:val="00DE06D4"/>
    <w:rsid w:val="00DE0811"/>
    <w:rsid w:val="00DE0906"/>
    <w:rsid w:val="00DE0B29"/>
    <w:rsid w:val="00DE0B47"/>
    <w:rsid w:val="00DE0BFD"/>
    <w:rsid w:val="00DE0CE5"/>
    <w:rsid w:val="00DE0DC3"/>
    <w:rsid w:val="00DE0E94"/>
    <w:rsid w:val="00DE0EA8"/>
    <w:rsid w:val="00DE1183"/>
    <w:rsid w:val="00DE12B2"/>
    <w:rsid w:val="00DE143F"/>
    <w:rsid w:val="00DE158D"/>
    <w:rsid w:val="00DE15AE"/>
    <w:rsid w:val="00DE15F0"/>
    <w:rsid w:val="00DE16B4"/>
    <w:rsid w:val="00DE1809"/>
    <w:rsid w:val="00DE1856"/>
    <w:rsid w:val="00DE1E96"/>
    <w:rsid w:val="00DE2074"/>
    <w:rsid w:val="00DE209B"/>
    <w:rsid w:val="00DE20FB"/>
    <w:rsid w:val="00DE211B"/>
    <w:rsid w:val="00DE21B6"/>
    <w:rsid w:val="00DE2281"/>
    <w:rsid w:val="00DE241D"/>
    <w:rsid w:val="00DE2752"/>
    <w:rsid w:val="00DE276B"/>
    <w:rsid w:val="00DE29BC"/>
    <w:rsid w:val="00DE29FF"/>
    <w:rsid w:val="00DE2B0E"/>
    <w:rsid w:val="00DE2D6F"/>
    <w:rsid w:val="00DE2E46"/>
    <w:rsid w:val="00DE2FEB"/>
    <w:rsid w:val="00DE3346"/>
    <w:rsid w:val="00DE357D"/>
    <w:rsid w:val="00DE35BB"/>
    <w:rsid w:val="00DE37B7"/>
    <w:rsid w:val="00DE380E"/>
    <w:rsid w:val="00DE3816"/>
    <w:rsid w:val="00DE3BF4"/>
    <w:rsid w:val="00DE3CD2"/>
    <w:rsid w:val="00DE3F9A"/>
    <w:rsid w:val="00DE3FC4"/>
    <w:rsid w:val="00DE40A5"/>
    <w:rsid w:val="00DE44C8"/>
    <w:rsid w:val="00DE44FD"/>
    <w:rsid w:val="00DE46CF"/>
    <w:rsid w:val="00DE4782"/>
    <w:rsid w:val="00DE498B"/>
    <w:rsid w:val="00DE4C0E"/>
    <w:rsid w:val="00DE4E9A"/>
    <w:rsid w:val="00DE4F91"/>
    <w:rsid w:val="00DE4FA2"/>
    <w:rsid w:val="00DE501F"/>
    <w:rsid w:val="00DE5061"/>
    <w:rsid w:val="00DE5077"/>
    <w:rsid w:val="00DE517C"/>
    <w:rsid w:val="00DE54E6"/>
    <w:rsid w:val="00DE566E"/>
    <w:rsid w:val="00DE589F"/>
    <w:rsid w:val="00DE5A6E"/>
    <w:rsid w:val="00DE5AB1"/>
    <w:rsid w:val="00DE5F11"/>
    <w:rsid w:val="00DE6263"/>
    <w:rsid w:val="00DE6484"/>
    <w:rsid w:val="00DE6624"/>
    <w:rsid w:val="00DE67D4"/>
    <w:rsid w:val="00DE695B"/>
    <w:rsid w:val="00DE6A68"/>
    <w:rsid w:val="00DE6AE4"/>
    <w:rsid w:val="00DE6DDA"/>
    <w:rsid w:val="00DE7672"/>
    <w:rsid w:val="00DE7736"/>
    <w:rsid w:val="00DE7819"/>
    <w:rsid w:val="00DE7A88"/>
    <w:rsid w:val="00DE7AE8"/>
    <w:rsid w:val="00DE7B64"/>
    <w:rsid w:val="00DE7E56"/>
    <w:rsid w:val="00DF0028"/>
    <w:rsid w:val="00DF007C"/>
    <w:rsid w:val="00DF0120"/>
    <w:rsid w:val="00DF03B3"/>
    <w:rsid w:val="00DF06CA"/>
    <w:rsid w:val="00DF06E7"/>
    <w:rsid w:val="00DF0823"/>
    <w:rsid w:val="00DF0850"/>
    <w:rsid w:val="00DF0881"/>
    <w:rsid w:val="00DF09BC"/>
    <w:rsid w:val="00DF0A39"/>
    <w:rsid w:val="00DF0BD5"/>
    <w:rsid w:val="00DF10AB"/>
    <w:rsid w:val="00DF10EC"/>
    <w:rsid w:val="00DF110A"/>
    <w:rsid w:val="00DF1389"/>
    <w:rsid w:val="00DF15A7"/>
    <w:rsid w:val="00DF15E1"/>
    <w:rsid w:val="00DF16AA"/>
    <w:rsid w:val="00DF16DA"/>
    <w:rsid w:val="00DF18CE"/>
    <w:rsid w:val="00DF18D2"/>
    <w:rsid w:val="00DF18F6"/>
    <w:rsid w:val="00DF190B"/>
    <w:rsid w:val="00DF19BD"/>
    <w:rsid w:val="00DF19FD"/>
    <w:rsid w:val="00DF1A83"/>
    <w:rsid w:val="00DF1B8E"/>
    <w:rsid w:val="00DF1BED"/>
    <w:rsid w:val="00DF1CF3"/>
    <w:rsid w:val="00DF1D40"/>
    <w:rsid w:val="00DF1D55"/>
    <w:rsid w:val="00DF1DD6"/>
    <w:rsid w:val="00DF1DDC"/>
    <w:rsid w:val="00DF1E2D"/>
    <w:rsid w:val="00DF20EE"/>
    <w:rsid w:val="00DF219E"/>
    <w:rsid w:val="00DF2264"/>
    <w:rsid w:val="00DF22C2"/>
    <w:rsid w:val="00DF235A"/>
    <w:rsid w:val="00DF259C"/>
    <w:rsid w:val="00DF277E"/>
    <w:rsid w:val="00DF27B2"/>
    <w:rsid w:val="00DF29CE"/>
    <w:rsid w:val="00DF2B5F"/>
    <w:rsid w:val="00DF2F27"/>
    <w:rsid w:val="00DF2FB9"/>
    <w:rsid w:val="00DF32CC"/>
    <w:rsid w:val="00DF3303"/>
    <w:rsid w:val="00DF3463"/>
    <w:rsid w:val="00DF3530"/>
    <w:rsid w:val="00DF35F8"/>
    <w:rsid w:val="00DF3709"/>
    <w:rsid w:val="00DF3B56"/>
    <w:rsid w:val="00DF3C45"/>
    <w:rsid w:val="00DF3C68"/>
    <w:rsid w:val="00DF3FDD"/>
    <w:rsid w:val="00DF40E2"/>
    <w:rsid w:val="00DF46B4"/>
    <w:rsid w:val="00DF494C"/>
    <w:rsid w:val="00DF4AE2"/>
    <w:rsid w:val="00DF4B37"/>
    <w:rsid w:val="00DF4B6C"/>
    <w:rsid w:val="00DF4B7C"/>
    <w:rsid w:val="00DF4DAA"/>
    <w:rsid w:val="00DF4DC7"/>
    <w:rsid w:val="00DF5129"/>
    <w:rsid w:val="00DF548A"/>
    <w:rsid w:val="00DF55C5"/>
    <w:rsid w:val="00DF55EC"/>
    <w:rsid w:val="00DF5948"/>
    <w:rsid w:val="00DF598E"/>
    <w:rsid w:val="00DF59AA"/>
    <w:rsid w:val="00DF5A3D"/>
    <w:rsid w:val="00DF5AC3"/>
    <w:rsid w:val="00DF5B0E"/>
    <w:rsid w:val="00DF5DCF"/>
    <w:rsid w:val="00DF5DE7"/>
    <w:rsid w:val="00DF5F45"/>
    <w:rsid w:val="00DF5F4A"/>
    <w:rsid w:val="00DF5F8F"/>
    <w:rsid w:val="00DF6032"/>
    <w:rsid w:val="00DF6082"/>
    <w:rsid w:val="00DF61DA"/>
    <w:rsid w:val="00DF65B7"/>
    <w:rsid w:val="00DF6622"/>
    <w:rsid w:val="00DF66EA"/>
    <w:rsid w:val="00DF6718"/>
    <w:rsid w:val="00DF6C83"/>
    <w:rsid w:val="00DF6D20"/>
    <w:rsid w:val="00DF6D64"/>
    <w:rsid w:val="00DF6DE5"/>
    <w:rsid w:val="00DF6FD7"/>
    <w:rsid w:val="00DF7103"/>
    <w:rsid w:val="00DF7190"/>
    <w:rsid w:val="00DF719E"/>
    <w:rsid w:val="00DF720A"/>
    <w:rsid w:val="00DF7274"/>
    <w:rsid w:val="00DF7589"/>
    <w:rsid w:val="00DF758E"/>
    <w:rsid w:val="00DF7611"/>
    <w:rsid w:val="00DF773F"/>
    <w:rsid w:val="00DF7749"/>
    <w:rsid w:val="00DF7821"/>
    <w:rsid w:val="00DF78D8"/>
    <w:rsid w:val="00DF7947"/>
    <w:rsid w:val="00DF7C37"/>
    <w:rsid w:val="00DF7DE1"/>
    <w:rsid w:val="00DF7DEF"/>
    <w:rsid w:val="00DF7E6A"/>
    <w:rsid w:val="00E00524"/>
    <w:rsid w:val="00E007A3"/>
    <w:rsid w:val="00E0091C"/>
    <w:rsid w:val="00E00A57"/>
    <w:rsid w:val="00E00BDB"/>
    <w:rsid w:val="00E00C4B"/>
    <w:rsid w:val="00E00C77"/>
    <w:rsid w:val="00E00F11"/>
    <w:rsid w:val="00E01466"/>
    <w:rsid w:val="00E01479"/>
    <w:rsid w:val="00E014E5"/>
    <w:rsid w:val="00E01566"/>
    <w:rsid w:val="00E01591"/>
    <w:rsid w:val="00E01672"/>
    <w:rsid w:val="00E01791"/>
    <w:rsid w:val="00E018AB"/>
    <w:rsid w:val="00E018B4"/>
    <w:rsid w:val="00E018E5"/>
    <w:rsid w:val="00E01ACF"/>
    <w:rsid w:val="00E01C02"/>
    <w:rsid w:val="00E01CA7"/>
    <w:rsid w:val="00E01CD8"/>
    <w:rsid w:val="00E02159"/>
    <w:rsid w:val="00E0221A"/>
    <w:rsid w:val="00E02506"/>
    <w:rsid w:val="00E0267F"/>
    <w:rsid w:val="00E0277E"/>
    <w:rsid w:val="00E02B21"/>
    <w:rsid w:val="00E02CEC"/>
    <w:rsid w:val="00E03098"/>
    <w:rsid w:val="00E03365"/>
    <w:rsid w:val="00E03468"/>
    <w:rsid w:val="00E0350C"/>
    <w:rsid w:val="00E0365B"/>
    <w:rsid w:val="00E036C1"/>
    <w:rsid w:val="00E03819"/>
    <w:rsid w:val="00E03886"/>
    <w:rsid w:val="00E03909"/>
    <w:rsid w:val="00E03B5E"/>
    <w:rsid w:val="00E03BB6"/>
    <w:rsid w:val="00E040D6"/>
    <w:rsid w:val="00E04385"/>
    <w:rsid w:val="00E0460D"/>
    <w:rsid w:val="00E04742"/>
    <w:rsid w:val="00E048E0"/>
    <w:rsid w:val="00E048E4"/>
    <w:rsid w:val="00E04C4B"/>
    <w:rsid w:val="00E04D35"/>
    <w:rsid w:val="00E04F92"/>
    <w:rsid w:val="00E04FA6"/>
    <w:rsid w:val="00E0501F"/>
    <w:rsid w:val="00E05156"/>
    <w:rsid w:val="00E05307"/>
    <w:rsid w:val="00E0558A"/>
    <w:rsid w:val="00E05765"/>
    <w:rsid w:val="00E05862"/>
    <w:rsid w:val="00E05A96"/>
    <w:rsid w:val="00E05AC1"/>
    <w:rsid w:val="00E05B30"/>
    <w:rsid w:val="00E05B46"/>
    <w:rsid w:val="00E05C99"/>
    <w:rsid w:val="00E05CB6"/>
    <w:rsid w:val="00E05CCD"/>
    <w:rsid w:val="00E05D89"/>
    <w:rsid w:val="00E05DC2"/>
    <w:rsid w:val="00E05DF5"/>
    <w:rsid w:val="00E05E03"/>
    <w:rsid w:val="00E05E6A"/>
    <w:rsid w:val="00E05FB9"/>
    <w:rsid w:val="00E0609B"/>
    <w:rsid w:val="00E0612B"/>
    <w:rsid w:val="00E0615C"/>
    <w:rsid w:val="00E06185"/>
    <w:rsid w:val="00E06399"/>
    <w:rsid w:val="00E06558"/>
    <w:rsid w:val="00E0669E"/>
    <w:rsid w:val="00E066E0"/>
    <w:rsid w:val="00E066F5"/>
    <w:rsid w:val="00E06761"/>
    <w:rsid w:val="00E06763"/>
    <w:rsid w:val="00E068B9"/>
    <w:rsid w:val="00E06AE9"/>
    <w:rsid w:val="00E06B17"/>
    <w:rsid w:val="00E06C17"/>
    <w:rsid w:val="00E06EEC"/>
    <w:rsid w:val="00E07452"/>
    <w:rsid w:val="00E0747D"/>
    <w:rsid w:val="00E07514"/>
    <w:rsid w:val="00E078A8"/>
    <w:rsid w:val="00E07917"/>
    <w:rsid w:val="00E07957"/>
    <w:rsid w:val="00E0797F"/>
    <w:rsid w:val="00E07CC3"/>
    <w:rsid w:val="00E07EB9"/>
    <w:rsid w:val="00E07F7B"/>
    <w:rsid w:val="00E10203"/>
    <w:rsid w:val="00E10311"/>
    <w:rsid w:val="00E103A1"/>
    <w:rsid w:val="00E10424"/>
    <w:rsid w:val="00E104AB"/>
    <w:rsid w:val="00E1073F"/>
    <w:rsid w:val="00E107FB"/>
    <w:rsid w:val="00E10F09"/>
    <w:rsid w:val="00E10FDD"/>
    <w:rsid w:val="00E11128"/>
    <w:rsid w:val="00E11262"/>
    <w:rsid w:val="00E112B7"/>
    <w:rsid w:val="00E1136E"/>
    <w:rsid w:val="00E113E0"/>
    <w:rsid w:val="00E114B4"/>
    <w:rsid w:val="00E116AE"/>
    <w:rsid w:val="00E1175D"/>
    <w:rsid w:val="00E1181F"/>
    <w:rsid w:val="00E11D5D"/>
    <w:rsid w:val="00E11F32"/>
    <w:rsid w:val="00E121EB"/>
    <w:rsid w:val="00E1223F"/>
    <w:rsid w:val="00E122C0"/>
    <w:rsid w:val="00E122C3"/>
    <w:rsid w:val="00E122E1"/>
    <w:rsid w:val="00E12526"/>
    <w:rsid w:val="00E12586"/>
    <w:rsid w:val="00E127FF"/>
    <w:rsid w:val="00E1299F"/>
    <w:rsid w:val="00E12AF6"/>
    <w:rsid w:val="00E12B4C"/>
    <w:rsid w:val="00E12BDF"/>
    <w:rsid w:val="00E12D25"/>
    <w:rsid w:val="00E130A0"/>
    <w:rsid w:val="00E1311E"/>
    <w:rsid w:val="00E1313F"/>
    <w:rsid w:val="00E1331A"/>
    <w:rsid w:val="00E133DA"/>
    <w:rsid w:val="00E13438"/>
    <w:rsid w:val="00E13593"/>
    <w:rsid w:val="00E1377C"/>
    <w:rsid w:val="00E1387B"/>
    <w:rsid w:val="00E138CA"/>
    <w:rsid w:val="00E13919"/>
    <w:rsid w:val="00E1391D"/>
    <w:rsid w:val="00E13B59"/>
    <w:rsid w:val="00E13C80"/>
    <w:rsid w:val="00E13CB7"/>
    <w:rsid w:val="00E13DAC"/>
    <w:rsid w:val="00E1410B"/>
    <w:rsid w:val="00E14215"/>
    <w:rsid w:val="00E14282"/>
    <w:rsid w:val="00E14654"/>
    <w:rsid w:val="00E14706"/>
    <w:rsid w:val="00E148F3"/>
    <w:rsid w:val="00E149D8"/>
    <w:rsid w:val="00E14AC7"/>
    <w:rsid w:val="00E14C55"/>
    <w:rsid w:val="00E14D4F"/>
    <w:rsid w:val="00E14D6D"/>
    <w:rsid w:val="00E14DC7"/>
    <w:rsid w:val="00E14F1D"/>
    <w:rsid w:val="00E14F3E"/>
    <w:rsid w:val="00E15172"/>
    <w:rsid w:val="00E151DD"/>
    <w:rsid w:val="00E15314"/>
    <w:rsid w:val="00E1537B"/>
    <w:rsid w:val="00E156DA"/>
    <w:rsid w:val="00E156FC"/>
    <w:rsid w:val="00E15822"/>
    <w:rsid w:val="00E15825"/>
    <w:rsid w:val="00E1587F"/>
    <w:rsid w:val="00E1597B"/>
    <w:rsid w:val="00E15A3F"/>
    <w:rsid w:val="00E15D16"/>
    <w:rsid w:val="00E15F3F"/>
    <w:rsid w:val="00E160EC"/>
    <w:rsid w:val="00E16137"/>
    <w:rsid w:val="00E161B8"/>
    <w:rsid w:val="00E16268"/>
    <w:rsid w:val="00E16457"/>
    <w:rsid w:val="00E167ED"/>
    <w:rsid w:val="00E1689C"/>
    <w:rsid w:val="00E168A0"/>
    <w:rsid w:val="00E16B32"/>
    <w:rsid w:val="00E16B80"/>
    <w:rsid w:val="00E16BC2"/>
    <w:rsid w:val="00E16DED"/>
    <w:rsid w:val="00E16EFE"/>
    <w:rsid w:val="00E16F85"/>
    <w:rsid w:val="00E17228"/>
    <w:rsid w:val="00E1727F"/>
    <w:rsid w:val="00E17308"/>
    <w:rsid w:val="00E173C6"/>
    <w:rsid w:val="00E173D4"/>
    <w:rsid w:val="00E1740D"/>
    <w:rsid w:val="00E17412"/>
    <w:rsid w:val="00E17431"/>
    <w:rsid w:val="00E175A6"/>
    <w:rsid w:val="00E175F1"/>
    <w:rsid w:val="00E1768D"/>
    <w:rsid w:val="00E17746"/>
    <w:rsid w:val="00E17930"/>
    <w:rsid w:val="00E17DC4"/>
    <w:rsid w:val="00E17EFB"/>
    <w:rsid w:val="00E17F93"/>
    <w:rsid w:val="00E20433"/>
    <w:rsid w:val="00E20650"/>
    <w:rsid w:val="00E2074D"/>
    <w:rsid w:val="00E2089A"/>
    <w:rsid w:val="00E20ABD"/>
    <w:rsid w:val="00E20B7E"/>
    <w:rsid w:val="00E20E30"/>
    <w:rsid w:val="00E20F5F"/>
    <w:rsid w:val="00E2113B"/>
    <w:rsid w:val="00E21307"/>
    <w:rsid w:val="00E21428"/>
    <w:rsid w:val="00E216DF"/>
    <w:rsid w:val="00E21733"/>
    <w:rsid w:val="00E218E4"/>
    <w:rsid w:val="00E219A8"/>
    <w:rsid w:val="00E21D36"/>
    <w:rsid w:val="00E21E26"/>
    <w:rsid w:val="00E2203F"/>
    <w:rsid w:val="00E22162"/>
    <w:rsid w:val="00E225E9"/>
    <w:rsid w:val="00E2264B"/>
    <w:rsid w:val="00E22909"/>
    <w:rsid w:val="00E22CB5"/>
    <w:rsid w:val="00E22D08"/>
    <w:rsid w:val="00E22DED"/>
    <w:rsid w:val="00E22F30"/>
    <w:rsid w:val="00E22F80"/>
    <w:rsid w:val="00E234B8"/>
    <w:rsid w:val="00E239E3"/>
    <w:rsid w:val="00E23A69"/>
    <w:rsid w:val="00E23B41"/>
    <w:rsid w:val="00E23B93"/>
    <w:rsid w:val="00E23F61"/>
    <w:rsid w:val="00E23F96"/>
    <w:rsid w:val="00E240D4"/>
    <w:rsid w:val="00E240DD"/>
    <w:rsid w:val="00E24299"/>
    <w:rsid w:val="00E2436E"/>
    <w:rsid w:val="00E24380"/>
    <w:rsid w:val="00E24811"/>
    <w:rsid w:val="00E24BEE"/>
    <w:rsid w:val="00E24C4B"/>
    <w:rsid w:val="00E24D6B"/>
    <w:rsid w:val="00E24FDE"/>
    <w:rsid w:val="00E2509B"/>
    <w:rsid w:val="00E25385"/>
    <w:rsid w:val="00E253C8"/>
    <w:rsid w:val="00E25A02"/>
    <w:rsid w:val="00E25A59"/>
    <w:rsid w:val="00E25EF1"/>
    <w:rsid w:val="00E260F6"/>
    <w:rsid w:val="00E26116"/>
    <w:rsid w:val="00E26184"/>
    <w:rsid w:val="00E2630C"/>
    <w:rsid w:val="00E26657"/>
    <w:rsid w:val="00E2678B"/>
    <w:rsid w:val="00E2688E"/>
    <w:rsid w:val="00E269CD"/>
    <w:rsid w:val="00E26A5F"/>
    <w:rsid w:val="00E26E3C"/>
    <w:rsid w:val="00E26F02"/>
    <w:rsid w:val="00E26FE2"/>
    <w:rsid w:val="00E27034"/>
    <w:rsid w:val="00E2727F"/>
    <w:rsid w:val="00E2728B"/>
    <w:rsid w:val="00E272A8"/>
    <w:rsid w:val="00E272BA"/>
    <w:rsid w:val="00E27454"/>
    <w:rsid w:val="00E27570"/>
    <w:rsid w:val="00E275A3"/>
    <w:rsid w:val="00E27615"/>
    <w:rsid w:val="00E27730"/>
    <w:rsid w:val="00E277D9"/>
    <w:rsid w:val="00E277E3"/>
    <w:rsid w:val="00E27827"/>
    <w:rsid w:val="00E27C49"/>
    <w:rsid w:val="00E27CCB"/>
    <w:rsid w:val="00E27D0F"/>
    <w:rsid w:val="00E27E1F"/>
    <w:rsid w:val="00E27E40"/>
    <w:rsid w:val="00E3003C"/>
    <w:rsid w:val="00E3015C"/>
    <w:rsid w:val="00E301D5"/>
    <w:rsid w:val="00E30247"/>
    <w:rsid w:val="00E30332"/>
    <w:rsid w:val="00E30410"/>
    <w:rsid w:val="00E30762"/>
    <w:rsid w:val="00E30BCF"/>
    <w:rsid w:val="00E31092"/>
    <w:rsid w:val="00E3110B"/>
    <w:rsid w:val="00E313F3"/>
    <w:rsid w:val="00E31651"/>
    <w:rsid w:val="00E319F0"/>
    <w:rsid w:val="00E31A0E"/>
    <w:rsid w:val="00E31A99"/>
    <w:rsid w:val="00E31CC7"/>
    <w:rsid w:val="00E31D78"/>
    <w:rsid w:val="00E31F45"/>
    <w:rsid w:val="00E321C2"/>
    <w:rsid w:val="00E321F9"/>
    <w:rsid w:val="00E32398"/>
    <w:rsid w:val="00E323EC"/>
    <w:rsid w:val="00E32790"/>
    <w:rsid w:val="00E32C36"/>
    <w:rsid w:val="00E32C8D"/>
    <w:rsid w:val="00E32CD2"/>
    <w:rsid w:val="00E32E9B"/>
    <w:rsid w:val="00E32EBC"/>
    <w:rsid w:val="00E32ECC"/>
    <w:rsid w:val="00E33048"/>
    <w:rsid w:val="00E33202"/>
    <w:rsid w:val="00E33238"/>
    <w:rsid w:val="00E33292"/>
    <w:rsid w:val="00E333A7"/>
    <w:rsid w:val="00E334EB"/>
    <w:rsid w:val="00E33588"/>
    <w:rsid w:val="00E33827"/>
    <w:rsid w:val="00E3384F"/>
    <w:rsid w:val="00E33854"/>
    <w:rsid w:val="00E33BBA"/>
    <w:rsid w:val="00E33CFF"/>
    <w:rsid w:val="00E33D53"/>
    <w:rsid w:val="00E33E4C"/>
    <w:rsid w:val="00E33F6A"/>
    <w:rsid w:val="00E34000"/>
    <w:rsid w:val="00E3413E"/>
    <w:rsid w:val="00E34202"/>
    <w:rsid w:val="00E342C7"/>
    <w:rsid w:val="00E34392"/>
    <w:rsid w:val="00E34E00"/>
    <w:rsid w:val="00E34E61"/>
    <w:rsid w:val="00E34ED9"/>
    <w:rsid w:val="00E34FCA"/>
    <w:rsid w:val="00E35022"/>
    <w:rsid w:val="00E350B0"/>
    <w:rsid w:val="00E3527C"/>
    <w:rsid w:val="00E3529D"/>
    <w:rsid w:val="00E35371"/>
    <w:rsid w:val="00E3537E"/>
    <w:rsid w:val="00E35464"/>
    <w:rsid w:val="00E357B1"/>
    <w:rsid w:val="00E358A1"/>
    <w:rsid w:val="00E3594A"/>
    <w:rsid w:val="00E35A05"/>
    <w:rsid w:val="00E35B0C"/>
    <w:rsid w:val="00E35D0B"/>
    <w:rsid w:val="00E3617E"/>
    <w:rsid w:val="00E361D3"/>
    <w:rsid w:val="00E3620E"/>
    <w:rsid w:val="00E362F8"/>
    <w:rsid w:val="00E36359"/>
    <w:rsid w:val="00E365A3"/>
    <w:rsid w:val="00E365A4"/>
    <w:rsid w:val="00E36722"/>
    <w:rsid w:val="00E36894"/>
    <w:rsid w:val="00E369AD"/>
    <w:rsid w:val="00E36A89"/>
    <w:rsid w:val="00E36B56"/>
    <w:rsid w:val="00E36B9A"/>
    <w:rsid w:val="00E36BDD"/>
    <w:rsid w:val="00E36BFE"/>
    <w:rsid w:val="00E36C0A"/>
    <w:rsid w:val="00E36C3A"/>
    <w:rsid w:val="00E36D5C"/>
    <w:rsid w:val="00E36F1B"/>
    <w:rsid w:val="00E37049"/>
    <w:rsid w:val="00E372D9"/>
    <w:rsid w:val="00E37380"/>
    <w:rsid w:val="00E373CF"/>
    <w:rsid w:val="00E3754D"/>
    <w:rsid w:val="00E37CC9"/>
    <w:rsid w:val="00E37D6D"/>
    <w:rsid w:val="00E37DC8"/>
    <w:rsid w:val="00E37EE2"/>
    <w:rsid w:val="00E37F5A"/>
    <w:rsid w:val="00E37F7F"/>
    <w:rsid w:val="00E400D2"/>
    <w:rsid w:val="00E40224"/>
    <w:rsid w:val="00E40348"/>
    <w:rsid w:val="00E408B4"/>
    <w:rsid w:val="00E408EB"/>
    <w:rsid w:val="00E4090F"/>
    <w:rsid w:val="00E40C29"/>
    <w:rsid w:val="00E40CE6"/>
    <w:rsid w:val="00E40E0D"/>
    <w:rsid w:val="00E4109E"/>
    <w:rsid w:val="00E41260"/>
    <w:rsid w:val="00E41339"/>
    <w:rsid w:val="00E4136C"/>
    <w:rsid w:val="00E413D1"/>
    <w:rsid w:val="00E417C3"/>
    <w:rsid w:val="00E418B2"/>
    <w:rsid w:val="00E4191C"/>
    <w:rsid w:val="00E41927"/>
    <w:rsid w:val="00E419CF"/>
    <w:rsid w:val="00E41B63"/>
    <w:rsid w:val="00E41EB2"/>
    <w:rsid w:val="00E41F79"/>
    <w:rsid w:val="00E41F96"/>
    <w:rsid w:val="00E41FEE"/>
    <w:rsid w:val="00E42070"/>
    <w:rsid w:val="00E4212E"/>
    <w:rsid w:val="00E42287"/>
    <w:rsid w:val="00E4249C"/>
    <w:rsid w:val="00E42617"/>
    <w:rsid w:val="00E4288F"/>
    <w:rsid w:val="00E429F6"/>
    <w:rsid w:val="00E42B34"/>
    <w:rsid w:val="00E42EC3"/>
    <w:rsid w:val="00E42F98"/>
    <w:rsid w:val="00E42FD1"/>
    <w:rsid w:val="00E430C3"/>
    <w:rsid w:val="00E4363F"/>
    <w:rsid w:val="00E4372D"/>
    <w:rsid w:val="00E437C9"/>
    <w:rsid w:val="00E439E9"/>
    <w:rsid w:val="00E43B66"/>
    <w:rsid w:val="00E43D8E"/>
    <w:rsid w:val="00E43FD8"/>
    <w:rsid w:val="00E4406A"/>
    <w:rsid w:val="00E4454E"/>
    <w:rsid w:val="00E445A6"/>
    <w:rsid w:val="00E446C0"/>
    <w:rsid w:val="00E446C5"/>
    <w:rsid w:val="00E44732"/>
    <w:rsid w:val="00E448A2"/>
    <w:rsid w:val="00E44C93"/>
    <w:rsid w:val="00E44D03"/>
    <w:rsid w:val="00E45143"/>
    <w:rsid w:val="00E45144"/>
    <w:rsid w:val="00E45572"/>
    <w:rsid w:val="00E45574"/>
    <w:rsid w:val="00E45742"/>
    <w:rsid w:val="00E45B84"/>
    <w:rsid w:val="00E45D4E"/>
    <w:rsid w:val="00E45F16"/>
    <w:rsid w:val="00E4605E"/>
    <w:rsid w:val="00E460DC"/>
    <w:rsid w:val="00E46112"/>
    <w:rsid w:val="00E462AB"/>
    <w:rsid w:val="00E4641F"/>
    <w:rsid w:val="00E465AD"/>
    <w:rsid w:val="00E4662E"/>
    <w:rsid w:val="00E4663E"/>
    <w:rsid w:val="00E4670C"/>
    <w:rsid w:val="00E467FB"/>
    <w:rsid w:val="00E467FF"/>
    <w:rsid w:val="00E4681E"/>
    <w:rsid w:val="00E46E25"/>
    <w:rsid w:val="00E46E6E"/>
    <w:rsid w:val="00E47311"/>
    <w:rsid w:val="00E47336"/>
    <w:rsid w:val="00E473F9"/>
    <w:rsid w:val="00E475DF"/>
    <w:rsid w:val="00E47888"/>
    <w:rsid w:val="00E4799C"/>
    <w:rsid w:val="00E47A35"/>
    <w:rsid w:val="00E47B33"/>
    <w:rsid w:val="00E47C24"/>
    <w:rsid w:val="00E47DAB"/>
    <w:rsid w:val="00E47F3B"/>
    <w:rsid w:val="00E501A5"/>
    <w:rsid w:val="00E5023B"/>
    <w:rsid w:val="00E505A2"/>
    <w:rsid w:val="00E50621"/>
    <w:rsid w:val="00E506FE"/>
    <w:rsid w:val="00E50766"/>
    <w:rsid w:val="00E507AE"/>
    <w:rsid w:val="00E509A5"/>
    <w:rsid w:val="00E50A51"/>
    <w:rsid w:val="00E50A97"/>
    <w:rsid w:val="00E50BBF"/>
    <w:rsid w:val="00E50D89"/>
    <w:rsid w:val="00E50EAD"/>
    <w:rsid w:val="00E511B2"/>
    <w:rsid w:val="00E5125B"/>
    <w:rsid w:val="00E512C1"/>
    <w:rsid w:val="00E512FC"/>
    <w:rsid w:val="00E51374"/>
    <w:rsid w:val="00E51564"/>
    <w:rsid w:val="00E5157B"/>
    <w:rsid w:val="00E51A32"/>
    <w:rsid w:val="00E51DB3"/>
    <w:rsid w:val="00E51E9B"/>
    <w:rsid w:val="00E51FC0"/>
    <w:rsid w:val="00E5211D"/>
    <w:rsid w:val="00E52169"/>
    <w:rsid w:val="00E521F6"/>
    <w:rsid w:val="00E52423"/>
    <w:rsid w:val="00E5249F"/>
    <w:rsid w:val="00E52663"/>
    <w:rsid w:val="00E52742"/>
    <w:rsid w:val="00E527FB"/>
    <w:rsid w:val="00E52850"/>
    <w:rsid w:val="00E52AC7"/>
    <w:rsid w:val="00E52AEF"/>
    <w:rsid w:val="00E52B45"/>
    <w:rsid w:val="00E52D7D"/>
    <w:rsid w:val="00E52E1D"/>
    <w:rsid w:val="00E52F45"/>
    <w:rsid w:val="00E5311D"/>
    <w:rsid w:val="00E53315"/>
    <w:rsid w:val="00E53409"/>
    <w:rsid w:val="00E53610"/>
    <w:rsid w:val="00E5373D"/>
    <w:rsid w:val="00E53C20"/>
    <w:rsid w:val="00E53C9B"/>
    <w:rsid w:val="00E54170"/>
    <w:rsid w:val="00E542FD"/>
    <w:rsid w:val="00E54333"/>
    <w:rsid w:val="00E543CC"/>
    <w:rsid w:val="00E54512"/>
    <w:rsid w:val="00E545FC"/>
    <w:rsid w:val="00E54619"/>
    <w:rsid w:val="00E54709"/>
    <w:rsid w:val="00E54773"/>
    <w:rsid w:val="00E548C0"/>
    <w:rsid w:val="00E548C8"/>
    <w:rsid w:val="00E54967"/>
    <w:rsid w:val="00E54CD0"/>
    <w:rsid w:val="00E54D2B"/>
    <w:rsid w:val="00E54DB3"/>
    <w:rsid w:val="00E54E81"/>
    <w:rsid w:val="00E5503E"/>
    <w:rsid w:val="00E551C1"/>
    <w:rsid w:val="00E55360"/>
    <w:rsid w:val="00E5561E"/>
    <w:rsid w:val="00E556ED"/>
    <w:rsid w:val="00E5574C"/>
    <w:rsid w:val="00E55963"/>
    <w:rsid w:val="00E55CE4"/>
    <w:rsid w:val="00E55D54"/>
    <w:rsid w:val="00E55FAA"/>
    <w:rsid w:val="00E562DE"/>
    <w:rsid w:val="00E56331"/>
    <w:rsid w:val="00E5650C"/>
    <w:rsid w:val="00E56571"/>
    <w:rsid w:val="00E56682"/>
    <w:rsid w:val="00E5682B"/>
    <w:rsid w:val="00E5690A"/>
    <w:rsid w:val="00E569F2"/>
    <w:rsid w:val="00E56BCB"/>
    <w:rsid w:val="00E56D48"/>
    <w:rsid w:val="00E56D5F"/>
    <w:rsid w:val="00E5716A"/>
    <w:rsid w:val="00E5719C"/>
    <w:rsid w:val="00E571F1"/>
    <w:rsid w:val="00E57324"/>
    <w:rsid w:val="00E5732C"/>
    <w:rsid w:val="00E5745A"/>
    <w:rsid w:val="00E5754E"/>
    <w:rsid w:val="00E57638"/>
    <w:rsid w:val="00E5771D"/>
    <w:rsid w:val="00E57767"/>
    <w:rsid w:val="00E57789"/>
    <w:rsid w:val="00E57842"/>
    <w:rsid w:val="00E578FC"/>
    <w:rsid w:val="00E57946"/>
    <w:rsid w:val="00E57947"/>
    <w:rsid w:val="00E579E5"/>
    <w:rsid w:val="00E57B03"/>
    <w:rsid w:val="00E57BC1"/>
    <w:rsid w:val="00E57BEA"/>
    <w:rsid w:val="00E57C00"/>
    <w:rsid w:val="00E57D82"/>
    <w:rsid w:val="00E57D8A"/>
    <w:rsid w:val="00E57D8D"/>
    <w:rsid w:val="00E57EBE"/>
    <w:rsid w:val="00E57EDD"/>
    <w:rsid w:val="00E60024"/>
    <w:rsid w:val="00E6004C"/>
    <w:rsid w:val="00E600EC"/>
    <w:rsid w:val="00E60151"/>
    <w:rsid w:val="00E60326"/>
    <w:rsid w:val="00E60649"/>
    <w:rsid w:val="00E60A48"/>
    <w:rsid w:val="00E60A6C"/>
    <w:rsid w:val="00E60D42"/>
    <w:rsid w:val="00E60D67"/>
    <w:rsid w:val="00E60D80"/>
    <w:rsid w:val="00E60E71"/>
    <w:rsid w:val="00E60F55"/>
    <w:rsid w:val="00E61046"/>
    <w:rsid w:val="00E61069"/>
    <w:rsid w:val="00E61554"/>
    <w:rsid w:val="00E616B2"/>
    <w:rsid w:val="00E61847"/>
    <w:rsid w:val="00E61AE4"/>
    <w:rsid w:val="00E61DEE"/>
    <w:rsid w:val="00E61FAB"/>
    <w:rsid w:val="00E61FB7"/>
    <w:rsid w:val="00E620B5"/>
    <w:rsid w:val="00E62635"/>
    <w:rsid w:val="00E62ABE"/>
    <w:rsid w:val="00E62D95"/>
    <w:rsid w:val="00E62DD9"/>
    <w:rsid w:val="00E62E08"/>
    <w:rsid w:val="00E62E71"/>
    <w:rsid w:val="00E62FE4"/>
    <w:rsid w:val="00E631F3"/>
    <w:rsid w:val="00E63631"/>
    <w:rsid w:val="00E6378B"/>
    <w:rsid w:val="00E637BB"/>
    <w:rsid w:val="00E63AA5"/>
    <w:rsid w:val="00E63B50"/>
    <w:rsid w:val="00E63C34"/>
    <w:rsid w:val="00E63C92"/>
    <w:rsid w:val="00E63D62"/>
    <w:rsid w:val="00E63DA4"/>
    <w:rsid w:val="00E63EC7"/>
    <w:rsid w:val="00E63EE7"/>
    <w:rsid w:val="00E641EF"/>
    <w:rsid w:val="00E646CB"/>
    <w:rsid w:val="00E64C46"/>
    <w:rsid w:val="00E64CDB"/>
    <w:rsid w:val="00E64FB5"/>
    <w:rsid w:val="00E650C4"/>
    <w:rsid w:val="00E65331"/>
    <w:rsid w:val="00E6534C"/>
    <w:rsid w:val="00E6536B"/>
    <w:rsid w:val="00E65731"/>
    <w:rsid w:val="00E6578A"/>
    <w:rsid w:val="00E65824"/>
    <w:rsid w:val="00E65B20"/>
    <w:rsid w:val="00E65B44"/>
    <w:rsid w:val="00E65F19"/>
    <w:rsid w:val="00E66016"/>
    <w:rsid w:val="00E6603C"/>
    <w:rsid w:val="00E66261"/>
    <w:rsid w:val="00E66302"/>
    <w:rsid w:val="00E66595"/>
    <w:rsid w:val="00E668F9"/>
    <w:rsid w:val="00E669B7"/>
    <w:rsid w:val="00E66D6D"/>
    <w:rsid w:val="00E66EF4"/>
    <w:rsid w:val="00E66F62"/>
    <w:rsid w:val="00E66FC8"/>
    <w:rsid w:val="00E671D2"/>
    <w:rsid w:val="00E67453"/>
    <w:rsid w:val="00E67665"/>
    <w:rsid w:val="00E676BA"/>
    <w:rsid w:val="00E676D0"/>
    <w:rsid w:val="00E67812"/>
    <w:rsid w:val="00E678C2"/>
    <w:rsid w:val="00E679F4"/>
    <w:rsid w:val="00E67A2B"/>
    <w:rsid w:val="00E67A8D"/>
    <w:rsid w:val="00E67CAF"/>
    <w:rsid w:val="00E67D69"/>
    <w:rsid w:val="00E67E2C"/>
    <w:rsid w:val="00E67FF8"/>
    <w:rsid w:val="00E70287"/>
    <w:rsid w:val="00E702B0"/>
    <w:rsid w:val="00E70587"/>
    <w:rsid w:val="00E705D6"/>
    <w:rsid w:val="00E70B11"/>
    <w:rsid w:val="00E70BE5"/>
    <w:rsid w:val="00E70CC6"/>
    <w:rsid w:val="00E70F5C"/>
    <w:rsid w:val="00E7113E"/>
    <w:rsid w:val="00E7115C"/>
    <w:rsid w:val="00E71386"/>
    <w:rsid w:val="00E71647"/>
    <w:rsid w:val="00E7172B"/>
    <w:rsid w:val="00E71771"/>
    <w:rsid w:val="00E718CF"/>
    <w:rsid w:val="00E7199E"/>
    <w:rsid w:val="00E719EC"/>
    <w:rsid w:val="00E71A06"/>
    <w:rsid w:val="00E71BF3"/>
    <w:rsid w:val="00E71E75"/>
    <w:rsid w:val="00E71F3E"/>
    <w:rsid w:val="00E7232D"/>
    <w:rsid w:val="00E724EC"/>
    <w:rsid w:val="00E725BF"/>
    <w:rsid w:val="00E727EB"/>
    <w:rsid w:val="00E72873"/>
    <w:rsid w:val="00E729FB"/>
    <w:rsid w:val="00E72A28"/>
    <w:rsid w:val="00E72A84"/>
    <w:rsid w:val="00E72BD6"/>
    <w:rsid w:val="00E72F07"/>
    <w:rsid w:val="00E7303C"/>
    <w:rsid w:val="00E7312C"/>
    <w:rsid w:val="00E73140"/>
    <w:rsid w:val="00E731B8"/>
    <w:rsid w:val="00E732B0"/>
    <w:rsid w:val="00E737A7"/>
    <w:rsid w:val="00E73868"/>
    <w:rsid w:val="00E73869"/>
    <w:rsid w:val="00E73962"/>
    <w:rsid w:val="00E73A06"/>
    <w:rsid w:val="00E73A0E"/>
    <w:rsid w:val="00E73DD9"/>
    <w:rsid w:val="00E73FE2"/>
    <w:rsid w:val="00E7435C"/>
    <w:rsid w:val="00E7437F"/>
    <w:rsid w:val="00E744A4"/>
    <w:rsid w:val="00E74618"/>
    <w:rsid w:val="00E747B3"/>
    <w:rsid w:val="00E75015"/>
    <w:rsid w:val="00E7528F"/>
    <w:rsid w:val="00E755A2"/>
    <w:rsid w:val="00E756DA"/>
    <w:rsid w:val="00E75863"/>
    <w:rsid w:val="00E758BF"/>
    <w:rsid w:val="00E759B1"/>
    <w:rsid w:val="00E75B21"/>
    <w:rsid w:val="00E75D2F"/>
    <w:rsid w:val="00E75DA9"/>
    <w:rsid w:val="00E75EB2"/>
    <w:rsid w:val="00E760D0"/>
    <w:rsid w:val="00E762B6"/>
    <w:rsid w:val="00E76695"/>
    <w:rsid w:val="00E7673A"/>
    <w:rsid w:val="00E76A5F"/>
    <w:rsid w:val="00E76B7A"/>
    <w:rsid w:val="00E76BE8"/>
    <w:rsid w:val="00E76E33"/>
    <w:rsid w:val="00E76ED7"/>
    <w:rsid w:val="00E77117"/>
    <w:rsid w:val="00E77290"/>
    <w:rsid w:val="00E772AA"/>
    <w:rsid w:val="00E774E0"/>
    <w:rsid w:val="00E7750B"/>
    <w:rsid w:val="00E7765D"/>
    <w:rsid w:val="00E7775D"/>
    <w:rsid w:val="00E7780E"/>
    <w:rsid w:val="00E77A2F"/>
    <w:rsid w:val="00E77AFA"/>
    <w:rsid w:val="00E77B86"/>
    <w:rsid w:val="00E77D96"/>
    <w:rsid w:val="00E77DF4"/>
    <w:rsid w:val="00E77E2F"/>
    <w:rsid w:val="00E77ECC"/>
    <w:rsid w:val="00E801BA"/>
    <w:rsid w:val="00E80543"/>
    <w:rsid w:val="00E805ED"/>
    <w:rsid w:val="00E807C0"/>
    <w:rsid w:val="00E809C7"/>
    <w:rsid w:val="00E80A84"/>
    <w:rsid w:val="00E80AD8"/>
    <w:rsid w:val="00E80CC8"/>
    <w:rsid w:val="00E80D3B"/>
    <w:rsid w:val="00E80E62"/>
    <w:rsid w:val="00E80EC1"/>
    <w:rsid w:val="00E80FD2"/>
    <w:rsid w:val="00E810A4"/>
    <w:rsid w:val="00E813A9"/>
    <w:rsid w:val="00E816B9"/>
    <w:rsid w:val="00E81976"/>
    <w:rsid w:val="00E81DAB"/>
    <w:rsid w:val="00E81E7D"/>
    <w:rsid w:val="00E81FCB"/>
    <w:rsid w:val="00E823DB"/>
    <w:rsid w:val="00E8247B"/>
    <w:rsid w:val="00E825C5"/>
    <w:rsid w:val="00E82644"/>
    <w:rsid w:val="00E826E5"/>
    <w:rsid w:val="00E827A0"/>
    <w:rsid w:val="00E827ED"/>
    <w:rsid w:val="00E82EFA"/>
    <w:rsid w:val="00E82F76"/>
    <w:rsid w:val="00E830CE"/>
    <w:rsid w:val="00E83147"/>
    <w:rsid w:val="00E83155"/>
    <w:rsid w:val="00E8343D"/>
    <w:rsid w:val="00E83561"/>
    <w:rsid w:val="00E8364F"/>
    <w:rsid w:val="00E83763"/>
    <w:rsid w:val="00E83837"/>
    <w:rsid w:val="00E838E3"/>
    <w:rsid w:val="00E8390B"/>
    <w:rsid w:val="00E839B0"/>
    <w:rsid w:val="00E83A06"/>
    <w:rsid w:val="00E83DD7"/>
    <w:rsid w:val="00E83E37"/>
    <w:rsid w:val="00E83E47"/>
    <w:rsid w:val="00E83E7D"/>
    <w:rsid w:val="00E83FA1"/>
    <w:rsid w:val="00E84120"/>
    <w:rsid w:val="00E84167"/>
    <w:rsid w:val="00E84327"/>
    <w:rsid w:val="00E848AA"/>
    <w:rsid w:val="00E8498D"/>
    <w:rsid w:val="00E84A2C"/>
    <w:rsid w:val="00E84A47"/>
    <w:rsid w:val="00E84B9E"/>
    <w:rsid w:val="00E84CAB"/>
    <w:rsid w:val="00E84F40"/>
    <w:rsid w:val="00E85165"/>
    <w:rsid w:val="00E85202"/>
    <w:rsid w:val="00E852EB"/>
    <w:rsid w:val="00E85339"/>
    <w:rsid w:val="00E8536B"/>
    <w:rsid w:val="00E8577A"/>
    <w:rsid w:val="00E857D1"/>
    <w:rsid w:val="00E857E3"/>
    <w:rsid w:val="00E85A88"/>
    <w:rsid w:val="00E85CFE"/>
    <w:rsid w:val="00E85EF2"/>
    <w:rsid w:val="00E85F81"/>
    <w:rsid w:val="00E85FA9"/>
    <w:rsid w:val="00E8605F"/>
    <w:rsid w:val="00E86139"/>
    <w:rsid w:val="00E86309"/>
    <w:rsid w:val="00E8641E"/>
    <w:rsid w:val="00E864A8"/>
    <w:rsid w:val="00E86CA5"/>
    <w:rsid w:val="00E86E10"/>
    <w:rsid w:val="00E86E26"/>
    <w:rsid w:val="00E86EC7"/>
    <w:rsid w:val="00E87061"/>
    <w:rsid w:val="00E870ED"/>
    <w:rsid w:val="00E8716D"/>
    <w:rsid w:val="00E8738B"/>
    <w:rsid w:val="00E876EA"/>
    <w:rsid w:val="00E8771B"/>
    <w:rsid w:val="00E877A8"/>
    <w:rsid w:val="00E87B52"/>
    <w:rsid w:val="00E87C21"/>
    <w:rsid w:val="00E87DCE"/>
    <w:rsid w:val="00E87E58"/>
    <w:rsid w:val="00E87F40"/>
    <w:rsid w:val="00E90248"/>
    <w:rsid w:val="00E9028C"/>
    <w:rsid w:val="00E902BE"/>
    <w:rsid w:val="00E9031B"/>
    <w:rsid w:val="00E903D1"/>
    <w:rsid w:val="00E90443"/>
    <w:rsid w:val="00E907BA"/>
    <w:rsid w:val="00E908EA"/>
    <w:rsid w:val="00E90B3C"/>
    <w:rsid w:val="00E90C97"/>
    <w:rsid w:val="00E90CD5"/>
    <w:rsid w:val="00E90ECB"/>
    <w:rsid w:val="00E90EEA"/>
    <w:rsid w:val="00E90F7D"/>
    <w:rsid w:val="00E91057"/>
    <w:rsid w:val="00E9111F"/>
    <w:rsid w:val="00E91304"/>
    <w:rsid w:val="00E91367"/>
    <w:rsid w:val="00E91382"/>
    <w:rsid w:val="00E913BC"/>
    <w:rsid w:val="00E91740"/>
    <w:rsid w:val="00E91772"/>
    <w:rsid w:val="00E917A9"/>
    <w:rsid w:val="00E91A83"/>
    <w:rsid w:val="00E91A89"/>
    <w:rsid w:val="00E91AB5"/>
    <w:rsid w:val="00E91F10"/>
    <w:rsid w:val="00E91FF2"/>
    <w:rsid w:val="00E9268D"/>
    <w:rsid w:val="00E92716"/>
    <w:rsid w:val="00E92730"/>
    <w:rsid w:val="00E92753"/>
    <w:rsid w:val="00E92948"/>
    <w:rsid w:val="00E9297E"/>
    <w:rsid w:val="00E929C4"/>
    <w:rsid w:val="00E92B37"/>
    <w:rsid w:val="00E92B63"/>
    <w:rsid w:val="00E92D5F"/>
    <w:rsid w:val="00E92D66"/>
    <w:rsid w:val="00E92E80"/>
    <w:rsid w:val="00E9305F"/>
    <w:rsid w:val="00E931CA"/>
    <w:rsid w:val="00E932D9"/>
    <w:rsid w:val="00E932E1"/>
    <w:rsid w:val="00E93496"/>
    <w:rsid w:val="00E935E5"/>
    <w:rsid w:val="00E93719"/>
    <w:rsid w:val="00E93804"/>
    <w:rsid w:val="00E93C84"/>
    <w:rsid w:val="00E93CBD"/>
    <w:rsid w:val="00E940CA"/>
    <w:rsid w:val="00E94298"/>
    <w:rsid w:val="00E942D4"/>
    <w:rsid w:val="00E942ED"/>
    <w:rsid w:val="00E94350"/>
    <w:rsid w:val="00E94382"/>
    <w:rsid w:val="00E9438C"/>
    <w:rsid w:val="00E948CC"/>
    <w:rsid w:val="00E948E7"/>
    <w:rsid w:val="00E94A4B"/>
    <w:rsid w:val="00E94E7D"/>
    <w:rsid w:val="00E94EA2"/>
    <w:rsid w:val="00E950D8"/>
    <w:rsid w:val="00E95465"/>
    <w:rsid w:val="00E95518"/>
    <w:rsid w:val="00E9554E"/>
    <w:rsid w:val="00E956BE"/>
    <w:rsid w:val="00E95720"/>
    <w:rsid w:val="00E9587D"/>
    <w:rsid w:val="00E95912"/>
    <w:rsid w:val="00E95B2A"/>
    <w:rsid w:val="00E95D5C"/>
    <w:rsid w:val="00E95DDC"/>
    <w:rsid w:val="00E95DE8"/>
    <w:rsid w:val="00E95FB1"/>
    <w:rsid w:val="00E96029"/>
    <w:rsid w:val="00E9605B"/>
    <w:rsid w:val="00E96126"/>
    <w:rsid w:val="00E9617A"/>
    <w:rsid w:val="00E961AB"/>
    <w:rsid w:val="00E9664D"/>
    <w:rsid w:val="00E96710"/>
    <w:rsid w:val="00E96754"/>
    <w:rsid w:val="00E96807"/>
    <w:rsid w:val="00E968A2"/>
    <w:rsid w:val="00E96A01"/>
    <w:rsid w:val="00E96A54"/>
    <w:rsid w:val="00E96ECB"/>
    <w:rsid w:val="00E9715E"/>
    <w:rsid w:val="00E971C8"/>
    <w:rsid w:val="00E97552"/>
    <w:rsid w:val="00E97663"/>
    <w:rsid w:val="00E9791C"/>
    <w:rsid w:val="00E97BAE"/>
    <w:rsid w:val="00E97BD2"/>
    <w:rsid w:val="00E97E46"/>
    <w:rsid w:val="00E97FB5"/>
    <w:rsid w:val="00EA0340"/>
    <w:rsid w:val="00EA063E"/>
    <w:rsid w:val="00EA0937"/>
    <w:rsid w:val="00EA096B"/>
    <w:rsid w:val="00EA09C2"/>
    <w:rsid w:val="00EA09CF"/>
    <w:rsid w:val="00EA0A03"/>
    <w:rsid w:val="00EA0A78"/>
    <w:rsid w:val="00EA0B41"/>
    <w:rsid w:val="00EA0C19"/>
    <w:rsid w:val="00EA0C89"/>
    <w:rsid w:val="00EA0D21"/>
    <w:rsid w:val="00EA102A"/>
    <w:rsid w:val="00EA1036"/>
    <w:rsid w:val="00EA1169"/>
    <w:rsid w:val="00EA1284"/>
    <w:rsid w:val="00EA134F"/>
    <w:rsid w:val="00EA1540"/>
    <w:rsid w:val="00EA19E0"/>
    <w:rsid w:val="00EA1A22"/>
    <w:rsid w:val="00EA1AD4"/>
    <w:rsid w:val="00EA1C3A"/>
    <w:rsid w:val="00EA1C65"/>
    <w:rsid w:val="00EA1C87"/>
    <w:rsid w:val="00EA1D09"/>
    <w:rsid w:val="00EA1DF7"/>
    <w:rsid w:val="00EA1E70"/>
    <w:rsid w:val="00EA210D"/>
    <w:rsid w:val="00EA22F2"/>
    <w:rsid w:val="00EA2364"/>
    <w:rsid w:val="00EA247A"/>
    <w:rsid w:val="00EA2680"/>
    <w:rsid w:val="00EA2B33"/>
    <w:rsid w:val="00EA2D1C"/>
    <w:rsid w:val="00EA2D4E"/>
    <w:rsid w:val="00EA2DA7"/>
    <w:rsid w:val="00EA2E40"/>
    <w:rsid w:val="00EA2EE1"/>
    <w:rsid w:val="00EA304F"/>
    <w:rsid w:val="00EA310B"/>
    <w:rsid w:val="00EA3575"/>
    <w:rsid w:val="00EA35A5"/>
    <w:rsid w:val="00EA3687"/>
    <w:rsid w:val="00EA3755"/>
    <w:rsid w:val="00EA38E9"/>
    <w:rsid w:val="00EA394D"/>
    <w:rsid w:val="00EA3A1E"/>
    <w:rsid w:val="00EA3AE7"/>
    <w:rsid w:val="00EA3B0D"/>
    <w:rsid w:val="00EA3E3B"/>
    <w:rsid w:val="00EA3F1A"/>
    <w:rsid w:val="00EA3FA4"/>
    <w:rsid w:val="00EA4019"/>
    <w:rsid w:val="00EA433F"/>
    <w:rsid w:val="00EA43EC"/>
    <w:rsid w:val="00EA4468"/>
    <w:rsid w:val="00EA4B4F"/>
    <w:rsid w:val="00EA4C31"/>
    <w:rsid w:val="00EA4C43"/>
    <w:rsid w:val="00EA4FBE"/>
    <w:rsid w:val="00EA51DE"/>
    <w:rsid w:val="00EA5549"/>
    <w:rsid w:val="00EA55BF"/>
    <w:rsid w:val="00EA562D"/>
    <w:rsid w:val="00EA578B"/>
    <w:rsid w:val="00EA58BE"/>
    <w:rsid w:val="00EA5B1E"/>
    <w:rsid w:val="00EA5B4F"/>
    <w:rsid w:val="00EA5DB4"/>
    <w:rsid w:val="00EA5E36"/>
    <w:rsid w:val="00EA5E4A"/>
    <w:rsid w:val="00EA5EF8"/>
    <w:rsid w:val="00EA5F84"/>
    <w:rsid w:val="00EA60FA"/>
    <w:rsid w:val="00EA6197"/>
    <w:rsid w:val="00EA61DB"/>
    <w:rsid w:val="00EA6416"/>
    <w:rsid w:val="00EA64E0"/>
    <w:rsid w:val="00EA6571"/>
    <w:rsid w:val="00EA6667"/>
    <w:rsid w:val="00EA69AC"/>
    <w:rsid w:val="00EA6CCB"/>
    <w:rsid w:val="00EA6CEA"/>
    <w:rsid w:val="00EA6D81"/>
    <w:rsid w:val="00EA6E31"/>
    <w:rsid w:val="00EA6E64"/>
    <w:rsid w:val="00EA6E78"/>
    <w:rsid w:val="00EA6EAC"/>
    <w:rsid w:val="00EA6F02"/>
    <w:rsid w:val="00EA738C"/>
    <w:rsid w:val="00EA7508"/>
    <w:rsid w:val="00EA7ACB"/>
    <w:rsid w:val="00EA7DFF"/>
    <w:rsid w:val="00EA7E8C"/>
    <w:rsid w:val="00EA7F29"/>
    <w:rsid w:val="00EA7F72"/>
    <w:rsid w:val="00EB0155"/>
    <w:rsid w:val="00EB01DB"/>
    <w:rsid w:val="00EB02E0"/>
    <w:rsid w:val="00EB056E"/>
    <w:rsid w:val="00EB0715"/>
    <w:rsid w:val="00EB08FD"/>
    <w:rsid w:val="00EB093A"/>
    <w:rsid w:val="00EB0A6B"/>
    <w:rsid w:val="00EB0B33"/>
    <w:rsid w:val="00EB0DC2"/>
    <w:rsid w:val="00EB10B8"/>
    <w:rsid w:val="00EB10BB"/>
    <w:rsid w:val="00EB11B3"/>
    <w:rsid w:val="00EB1256"/>
    <w:rsid w:val="00EB134F"/>
    <w:rsid w:val="00EB135C"/>
    <w:rsid w:val="00EB1385"/>
    <w:rsid w:val="00EB1398"/>
    <w:rsid w:val="00EB1438"/>
    <w:rsid w:val="00EB17C7"/>
    <w:rsid w:val="00EB1C29"/>
    <w:rsid w:val="00EB1C5C"/>
    <w:rsid w:val="00EB1E18"/>
    <w:rsid w:val="00EB1E2C"/>
    <w:rsid w:val="00EB1EA7"/>
    <w:rsid w:val="00EB1F18"/>
    <w:rsid w:val="00EB1F6C"/>
    <w:rsid w:val="00EB219F"/>
    <w:rsid w:val="00EB21E7"/>
    <w:rsid w:val="00EB2478"/>
    <w:rsid w:val="00EB24A9"/>
    <w:rsid w:val="00EB26C0"/>
    <w:rsid w:val="00EB2789"/>
    <w:rsid w:val="00EB2915"/>
    <w:rsid w:val="00EB2925"/>
    <w:rsid w:val="00EB29E7"/>
    <w:rsid w:val="00EB2A81"/>
    <w:rsid w:val="00EB2B47"/>
    <w:rsid w:val="00EB2B89"/>
    <w:rsid w:val="00EB2B8A"/>
    <w:rsid w:val="00EB2CA6"/>
    <w:rsid w:val="00EB2E39"/>
    <w:rsid w:val="00EB2FED"/>
    <w:rsid w:val="00EB2FF4"/>
    <w:rsid w:val="00EB3124"/>
    <w:rsid w:val="00EB317C"/>
    <w:rsid w:val="00EB31DA"/>
    <w:rsid w:val="00EB3245"/>
    <w:rsid w:val="00EB325B"/>
    <w:rsid w:val="00EB3535"/>
    <w:rsid w:val="00EB3611"/>
    <w:rsid w:val="00EB3696"/>
    <w:rsid w:val="00EB38D4"/>
    <w:rsid w:val="00EB3ADA"/>
    <w:rsid w:val="00EB3D46"/>
    <w:rsid w:val="00EB3DAD"/>
    <w:rsid w:val="00EB3DFF"/>
    <w:rsid w:val="00EB3E15"/>
    <w:rsid w:val="00EB4241"/>
    <w:rsid w:val="00EB4266"/>
    <w:rsid w:val="00EB433F"/>
    <w:rsid w:val="00EB43E1"/>
    <w:rsid w:val="00EB44FF"/>
    <w:rsid w:val="00EB467A"/>
    <w:rsid w:val="00EB47AA"/>
    <w:rsid w:val="00EB47B2"/>
    <w:rsid w:val="00EB4AE8"/>
    <w:rsid w:val="00EB4D17"/>
    <w:rsid w:val="00EB4E8E"/>
    <w:rsid w:val="00EB4F6C"/>
    <w:rsid w:val="00EB4F8F"/>
    <w:rsid w:val="00EB500A"/>
    <w:rsid w:val="00EB5237"/>
    <w:rsid w:val="00EB53D4"/>
    <w:rsid w:val="00EB5757"/>
    <w:rsid w:val="00EB5869"/>
    <w:rsid w:val="00EB58AE"/>
    <w:rsid w:val="00EB58D0"/>
    <w:rsid w:val="00EB58F2"/>
    <w:rsid w:val="00EB59BE"/>
    <w:rsid w:val="00EB5A47"/>
    <w:rsid w:val="00EB5B97"/>
    <w:rsid w:val="00EB5BC7"/>
    <w:rsid w:val="00EB5C29"/>
    <w:rsid w:val="00EB5DE6"/>
    <w:rsid w:val="00EB6066"/>
    <w:rsid w:val="00EB60C5"/>
    <w:rsid w:val="00EB6175"/>
    <w:rsid w:val="00EB6288"/>
    <w:rsid w:val="00EB6381"/>
    <w:rsid w:val="00EB6424"/>
    <w:rsid w:val="00EB6481"/>
    <w:rsid w:val="00EB6507"/>
    <w:rsid w:val="00EB6572"/>
    <w:rsid w:val="00EB65DA"/>
    <w:rsid w:val="00EB6742"/>
    <w:rsid w:val="00EB6936"/>
    <w:rsid w:val="00EB69BE"/>
    <w:rsid w:val="00EB6D38"/>
    <w:rsid w:val="00EB6D3E"/>
    <w:rsid w:val="00EB6ECD"/>
    <w:rsid w:val="00EB6EFD"/>
    <w:rsid w:val="00EB6F01"/>
    <w:rsid w:val="00EB6FA5"/>
    <w:rsid w:val="00EB72FB"/>
    <w:rsid w:val="00EB7469"/>
    <w:rsid w:val="00EB750D"/>
    <w:rsid w:val="00EB75E4"/>
    <w:rsid w:val="00EB76D6"/>
    <w:rsid w:val="00EB79E7"/>
    <w:rsid w:val="00EB7B26"/>
    <w:rsid w:val="00EB7DA4"/>
    <w:rsid w:val="00EB7F5F"/>
    <w:rsid w:val="00EC0149"/>
    <w:rsid w:val="00EC0498"/>
    <w:rsid w:val="00EC04B3"/>
    <w:rsid w:val="00EC053E"/>
    <w:rsid w:val="00EC0A51"/>
    <w:rsid w:val="00EC0B55"/>
    <w:rsid w:val="00EC0C62"/>
    <w:rsid w:val="00EC0E2F"/>
    <w:rsid w:val="00EC12AA"/>
    <w:rsid w:val="00EC12E8"/>
    <w:rsid w:val="00EC14AD"/>
    <w:rsid w:val="00EC1914"/>
    <w:rsid w:val="00EC1992"/>
    <w:rsid w:val="00EC19BF"/>
    <w:rsid w:val="00EC1A95"/>
    <w:rsid w:val="00EC1A9D"/>
    <w:rsid w:val="00EC1AA3"/>
    <w:rsid w:val="00EC1BC2"/>
    <w:rsid w:val="00EC1CB8"/>
    <w:rsid w:val="00EC1CC6"/>
    <w:rsid w:val="00EC1D7E"/>
    <w:rsid w:val="00EC205E"/>
    <w:rsid w:val="00EC22EF"/>
    <w:rsid w:val="00EC253C"/>
    <w:rsid w:val="00EC262E"/>
    <w:rsid w:val="00EC276A"/>
    <w:rsid w:val="00EC27EF"/>
    <w:rsid w:val="00EC29ED"/>
    <w:rsid w:val="00EC2CB2"/>
    <w:rsid w:val="00EC2D43"/>
    <w:rsid w:val="00EC2F92"/>
    <w:rsid w:val="00EC30BF"/>
    <w:rsid w:val="00EC32DA"/>
    <w:rsid w:val="00EC356F"/>
    <w:rsid w:val="00EC364B"/>
    <w:rsid w:val="00EC3992"/>
    <w:rsid w:val="00EC3ACA"/>
    <w:rsid w:val="00EC3B1D"/>
    <w:rsid w:val="00EC3B5A"/>
    <w:rsid w:val="00EC3C71"/>
    <w:rsid w:val="00EC3D19"/>
    <w:rsid w:val="00EC3F21"/>
    <w:rsid w:val="00EC44FC"/>
    <w:rsid w:val="00EC451E"/>
    <w:rsid w:val="00EC45FB"/>
    <w:rsid w:val="00EC464E"/>
    <w:rsid w:val="00EC46CD"/>
    <w:rsid w:val="00EC48AA"/>
    <w:rsid w:val="00EC490B"/>
    <w:rsid w:val="00EC499C"/>
    <w:rsid w:val="00EC4A53"/>
    <w:rsid w:val="00EC4AB7"/>
    <w:rsid w:val="00EC4AE2"/>
    <w:rsid w:val="00EC4BE9"/>
    <w:rsid w:val="00EC4D66"/>
    <w:rsid w:val="00EC4D9E"/>
    <w:rsid w:val="00EC4DA6"/>
    <w:rsid w:val="00EC5003"/>
    <w:rsid w:val="00EC516F"/>
    <w:rsid w:val="00EC575D"/>
    <w:rsid w:val="00EC5891"/>
    <w:rsid w:val="00EC5A04"/>
    <w:rsid w:val="00EC5D52"/>
    <w:rsid w:val="00EC5EFA"/>
    <w:rsid w:val="00EC6025"/>
    <w:rsid w:val="00EC6053"/>
    <w:rsid w:val="00EC6390"/>
    <w:rsid w:val="00EC63E2"/>
    <w:rsid w:val="00EC6520"/>
    <w:rsid w:val="00EC681F"/>
    <w:rsid w:val="00EC6895"/>
    <w:rsid w:val="00EC68C9"/>
    <w:rsid w:val="00EC6936"/>
    <w:rsid w:val="00EC693D"/>
    <w:rsid w:val="00EC6A51"/>
    <w:rsid w:val="00EC6C99"/>
    <w:rsid w:val="00EC6D7E"/>
    <w:rsid w:val="00EC6EBC"/>
    <w:rsid w:val="00EC6F8A"/>
    <w:rsid w:val="00EC6FCD"/>
    <w:rsid w:val="00EC6FF4"/>
    <w:rsid w:val="00EC7171"/>
    <w:rsid w:val="00EC72DA"/>
    <w:rsid w:val="00EC731D"/>
    <w:rsid w:val="00EC7633"/>
    <w:rsid w:val="00EC763C"/>
    <w:rsid w:val="00EC7770"/>
    <w:rsid w:val="00EC78BB"/>
    <w:rsid w:val="00EC7940"/>
    <w:rsid w:val="00EC7AA6"/>
    <w:rsid w:val="00EC7BC5"/>
    <w:rsid w:val="00EC7CC5"/>
    <w:rsid w:val="00EC7D5B"/>
    <w:rsid w:val="00EC7EBB"/>
    <w:rsid w:val="00ED00E9"/>
    <w:rsid w:val="00ED016E"/>
    <w:rsid w:val="00ED038F"/>
    <w:rsid w:val="00ED049A"/>
    <w:rsid w:val="00ED0659"/>
    <w:rsid w:val="00ED0785"/>
    <w:rsid w:val="00ED07FE"/>
    <w:rsid w:val="00ED08FC"/>
    <w:rsid w:val="00ED0AA5"/>
    <w:rsid w:val="00ED0ADF"/>
    <w:rsid w:val="00ED0AFE"/>
    <w:rsid w:val="00ED0BEF"/>
    <w:rsid w:val="00ED0C70"/>
    <w:rsid w:val="00ED0F2A"/>
    <w:rsid w:val="00ED1160"/>
    <w:rsid w:val="00ED1313"/>
    <w:rsid w:val="00ED1351"/>
    <w:rsid w:val="00ED1430"/>
    <w:rsid w:val="00ED1545"/>
    <w:rsid w:val="00ED15B9"/>
    <w:rsid w:val="00ED15E9"/>
    <w:rsid w:val="00ED169B"/>
    <w:rsid w:val="00ED1898"/>
    <w:rsid w:val="00ED19E8"/>
    <w:rsid w:val="00ED1BF5"/>
    <w:rsid w:val="00ED1E9B"/>
    <w:rsid w:val="00ED1F65"/>
    <w:rsid w:val="00ED204A"/>
    <w:rsid w:val="00ED223E"/>
    <w:rsid w:val="00ED23F5"/>
    <w:rsid w:val="00ED2793"/>
    <w:rsid w:val="00ED285B"/>
    <w:rsid w:val="00ED29C0"/>
    <w:rsid w:val="00ED2A4C"/>
    <w:rsid w:val="00ED2B62"/>
    <w:rsid w:val="00ED2C89"/>
    <w:rsid w:val="00ED2CD2"/>
    <w:rsid w:val="00ED2D84"/>
    <w:rsid w:val="00ED2DD9"/>
    <w:rsid w:val="00ED3197"/>
    <w:rsid w:val="00ED3262"/>
    <w:rsid w:val="00ED33E6"/>
    <w:rsid w:val="00ED3440"/>
    <w:rsid w:val="00ED3525"/>
    <w:rsid w:val="00ED35CF"/>
    <w:rsid w:val="00ED397D"/>
    <w:rsid w:val="00ED399D"/>
    <w:rsid w:val="00ED3E54"/>
    <w:rsid w:val="00ED4037"/>
    <w:rsid w:val="00ED442C"/>
    <w:rsid w:val="00ED453E"/>
    <w:rsid w:val="00ED48AD"/>
    <w:rsid w:val="00ED496A"/>
    <w:rsid w:val="00ED4A10"/>
    <w:rsid w:val="00ED5098"/>
    <w:rsid w:val="00ED543F"/>
    <w:rsid w:val="00ED55DF"/>
    <w:rsid w:val="00ED58F6"/>
    <w:rsid w:val="00ED5ADC"/>
    <w:rsid w:val="00ED5AEB"/>
    <w:rsid w:val="00ED5E0E"/>
    <w:rsid w:val="00ED6109"/>
    <w:rsid w:val="00ED621E"/>
    <w:rsid w:val="00ED6635"/>
    <w:rsid w:val="00ED66BF"/>
    <w:rsid w:val="00ED66F9"/>
    <w:rsid w:val="00ED67EF"/>
    <w:rsid w:val="00ED6C0C"/>
    <w:rsid w:val="00ED6CE3"/>
    <w:rsid w:val="00ED6F0B"/>
    <w:rsid w:val="00ED6FD3"/>
    <w:rsid w:val="00ED7278"/>
    <w:rsid w:val="00ED73DC"/>
    <w:rsid w:val="00ED7408"/>
    <w:rsid w:val="00ED7612"/>
    <w:rsid w:val="00ED7800"/>
    <w:rsid w:val="00ED7840"/>
    <w:rsid w:val="00ED79F9"/>
    <w:rsid w:val="00ED7CE8"/>
    <w:rsid w:val="00ED7FF3"/>
    <w:rsid w:val="00EE00B7"/>
    <w:rsid w:val="00EE021D"/>
    <w:rsid w:val="00EE024B"/>
    <w:rsid w:val="00EE02A1"/>
    <w:rsid w:val="00EE02A3"/>
    <w:rsid w:val="00EE02DA"/>
    <w:rsid w:val="00EE03F7"/>
    <w:rsid w:val="00EE04B6"/>
    <w:rsid w:val="00EE0781"/>
    <w:rsid w:val="00EE07D8"/>
    <w:rsid w:val="00EE08BA"/>
    <w:rsid w:val="00EE092B"/>
    <w:rsid w:val="00EE0D33"/>
    <w:rsid w:val="00EE0E75"/>
    <w:rsid w:val="00EE0EBE"/>
    <w:rsid w:val="00EE0EC7"/>
    <w:rsid w:val="00EE105E"/>
    <w:rsid w:val="00EE10C1"/>
    <w:rsid w:val="00EE1385"/>
    <w:rsid w:val="00EE14D0"/>
    <w:rsid w:val="00EE1500"/>
    <w:rsid w:val="00EE1859"/>
    <w:rsid w:val="00EE1A00"/>
    <w:rsid w:val="00EE1AF7"/>
    <w:rsid w:val="00EE1B94"/>
    <w:rsid w:val="00EE1D0C"/>
    <w:rsid w:val="00EE1F4A"/>
    <w:rsid w:val="00EE1FF7"/>
    <w:rsid w:val="00EE211C"/>
    <w:rsid w:val="00EE223D"/>
    <w:rsid w:val="00EE292A"/>
    <w:rsid w:val="00EE29FA"/>
    <w:rsid w:val="00EE2A71"/>
    <w:rsid w:val="00EE2AD3"/>
    <w:rsid w:val="00EE2E1B"/>
    <w:rsid w:val="00EE2ED1"/>
    <w:rsid w:val="00EE2F90"/>
    <w:rsid w:val="00EE3189"/>
    <w:rsid w:val="00EE31ED"/>
    <w:rsid w:val="00EE3399"/>
    <w:rsid w:val="00EE3403"/>
    <w:rsid w:val="00EE34CC"/>
    <w:rsid w:val="00EE3638"/>
    <w:rsid w:val="00EE36AA"/>
    <w:rsid w:val="00EE3748"/>
    <w:rsid w:val="00EE375D"/>
    <w:rsid w:val="00EE38A7"/>
    <w:rsid w:val="00EE3943"/>
    <w:rsid w:val="00EE3C73"/>
    <w:rsid w:val="00EE3E51"/>
    <w:rsid w:val="00EE3E73"/>
    <w:rsid w:val="00EE3F06"/>
    <w:rsid w:val="00EE3FF3"/>
    <w:rsid w:val="00EE40A2"/>
    <w:rsid w:val="00EE40D5"/>
    <w:rsid w:val="00EE4199"/>
    <w:rsid w:val="00EE4704"/>
    <w:rsid w:val="00EE47ED"/>
    <w:rsid w:val="00EE48A9"/>
    <w:rsid w:val="00EE48F5"/>
    <w:rsid w:val="00EE4903"/>
    <w:rsid w:val="00EE4953"/>
    <w:rsid w:val="00EE4D31"/>
    <w:rsid w:val="00EE4E48"/>
    <w:rsid w:val="00EE5300"/>
    <w:rsid w:val="00EE534C"/>
    <w:rsid w:val="00EE54C6"/>
    <w:rsid w:val="00EE5998"/>
    <w:rsid w:val="00EE5B69"/>
    <w:rsid w:val="00EE605A"/>
    <w:rsid w:val="00EE62DF"/>
    <w:rsid w:val="00EE62EC"/>
    <w:rsid w:val="00EE62F0"/>
    <w:rsid w:val="00EE6529"/>
    <w:rsid w:val="00EE665B"/>
    <w:rsid w:val="00EE685F"/>
    <w:rsid w:val="00EE6BDE"/>
    <w:rsid w:val="00EE6CD9"/>
    <w:rsid w:val="00EE6DF9"/>
    <w:rsid w:val="00EE6E67"/>
    <w:rsid w:val="00EE6E6F"/>
    <w:rsid w:val="00EE6E93"/>
    <w:rsid w:val="00EE6FFF"/>
    <w:rsid w:val="00EE735E"/>
    <w:rsid w:val="00EE755F"/>
    <w:rsid w:val="00EE7689"/>
    <w:rsid w:val="00EE773D"/>
    <w:rsid w:val="00EE779D"/>
    <w:rsid w:val="00EE7821"/>
    <w:rsid w:val="00EE783B"/>
    <w:rsid w:val="00EE7869"/>
    <w:rsid w:val="00EE787C"/>
    <w:rsid w:val="00EF004B"/>
    <w:rsid w:val="00EF03C3"/>
    <w:rsid w:val="00EF043E"/>
    <w:rsid w:val="00EF0502"/>
    <w:rsid w:val="00EF08E9"/>
    <w:rsid w:val="00EF0BE4"/>
    <w:rsid w:val="00EF0EA2"/>
    <w:rsid w:val="00EF0F42"/>
    <w:rsid w:val="00EF1018"/>
    <w:rsid w:val="00EF1178"/>
    <w:rsid w:val="00EF126D"/>
    <w:rsid w:val="00EF129A"/>
    <w:rsid w:val="00EF134F"/>
    <w:rsid w:val="00EF155B"/>
    <w:rsid w:val="00EF1677"/>
    <w:rsid w:val="00EF19AD"/>
    <w:rsid w:val="00EF1A2F"/>
    <w:rsid w:val="00EF1AB0"/>
    <w:rsid w:val="00EF1AFE"/>
    <w:rsid w:val="00EF1CEA"/>
    <w:rsid w:val="00EF1E1C"/>
    <w:rsid w:val="00EF1F42"/>
    <w:rsid w:val="00EF1F60"/>
    <w:rsid w:val="00EF1F85"/>
    <w:rsid w:val="00EF2210"/>
    <w:rsid w:val="00EF2326"/>
    <w:rsid w:val="00EF2533"/>
    <w:rsid w:val="00EF2808"/>
    <w:rsid w:val="00EF28A2"/>
    <w:rsid w:val="00EF2970"/>
    <w:rsid w:val="00EF2988"/>
    <w:rsid w:val="00EF2FCD"/>
    <w:rsid w:val="00EF304B"/>
    <w:rsid w:val="00EF31C9"/>
    <w:rsid w:val="00EF3293"/>
    <w:rsid w:val="00EF348C"/>
    <w:rsid w:val="00EF366B"/>
    <w:rsid w:val="00EF3763"/>
    <w:rsid w:val="00EF384A"/>
    <w:rsid w:val="00EF3CBF"/>
    <w:rsid w:val="00EF3D6E"/>
    <w:rsid w:val="00EF3EA2"/>
    <w:rsid w:val="00EF412C"/>
    <w:rsid w:val="00EF42C1"/>
    <w:rsid w:val="00EF42E4"/>
    <w:rsid w:val="00EF433F"/>
    <w:rsid w:val="00EF440B"/>
    <w:rsid w:val="00EF4681"/>
    <w:rsid w:val="00EF46B1"/>
    <w:rsid w:val="00EF482F"/>
    <w:rsid w:val="00EF4851"/>
    <w:rsid w:val="00EF4CF5"/>
    <w:rsid w:val="00EF4D51"/>
    <w:rsid w:val="00EF4DD5"/>
    <w:rsid w:val="00EF522A"/>
    <w:rsid w:val="00EF529E"/>
    <w:rsid w:val="00EF53DD"/>
    <w:rsid w:val="00EF5639"/>
    <w:rsid w:val="00EF56FE"/>
    <w:rsid w:val="00EF590A"/>
    <w:rsid w:val="00EF5AE9"/>
    <w:rsid w:val="00EF5C1A"/>
    <w:rsid w:val="00EF5CC8"/>
    <w:rsid w:val="00EF5E0F"/>
    <w:rsid w:val="00EF5E99"/>
    <w:rsid w:val="00EF5EAE"/>
    <w:rsid w:val="00EF62A9"/>
    <w:rsid w:val="00EF6479"/>
    <w:rsid w:val="00EF6543"/>
    <w:rsid w:val="00EF6576"/>
    <w:rsid w:val="00EF679E"/>
    <w:rsid w:val="00EF690E"/>
    <w:rsid w:val="00EF6919"/>
    <w:rsid w:val="00EF6A8F"/>
    <w:rsid w:val="00EF6AB4"/>
    <w:rsid w:val="00EF6ACC"/>
    <w:rsid w:val="00EF6C4F"/>
    <w:rsid w:val="00EF6CE1"/>
    <w:rsid w:val="00EF6E7A"/>
    <w:rsid w:val="00EF6E9C"/>
    <w:rsid w:val="00EF6F1F"/>
    <w:rsid w:val="00EF6F28"/>
    <w:rsid w:val="00EF7316"/>
    <w:rsid w:val="00EF7355"/>
    <w:rsid w:val="00EF73A7"/>
    <w:rsid w:val="00EF73DF"/>
    <w:rsid w:val="00EF75AE"/>
    <w:rsid w:val="00EF7763"/>
    <w:rsid w:val="00EF7BE2"/>
    <w:rsid w:val="00EF7F40"/>
    <w:rsid w:val="00F001DC"/>
    <w:rsid w:val="00F002E0"/>
    <w:rsid w:val="00F005BD"/>
    <w:rsid w:val="00F005C7"/>
    <w:rsid w:val="00F00641"/>
    <w:rsid w:val="00F00836"/>
    <w:rsid w:val="00F00874"/>
    <w:rsid w:val="00F0087C"/>
    <w:rsid w:val="00F0095C"/>
    <w:rsid w:val="00F00C34"/>
    <w:rsid w:val="00F00C8B"/>
    <w:rsid w:val="00F00D9B"/>
    <w:rsid w:val="00F00F01"/>
    <w:rsid w:val="00F00FF5"/>
    <w:rsid w:val="00F0105A"/>
    <w:rsid w:val="00F0116D"/>
    <w:rsid w:val="00F012E1"/>
    <w:rsid w:val="00F01467"/>
    <w:rsid w:val="00F015DA"/>
    <w:rsid w:val="00F01684"/>
    <w:rsid w:val="00F0196B"/>
    <w:rsid w:val="00F01B96"/>
    <w:rsid w:val="00F01BC7"/>
    <w:rsid w:val="00F01CC8"/>
    <w:rsid w:val="00F01F34"/>
    <w:rsid w:val="00F01F62"/>
    <w:rsid w:val="00F0221E"/>
    <w:rsid w:val="00F022B6"/>
    <w:rsid w:val="00F02699"/>
    <w:rsid w:val="00F027F3"/>
    <w:rsid w:val="00F0289B"/>
    <w:rsid w:val="00F02922"/>
    <w:rsid w:val="00F0294A"/>
    <w:rsid w:val="00F02AFB"/>
    <w:rsid w:val="00F02B6B"/>
    <w:rsid w:val="00F02CB4"/>
    <w:rsid w:val="00F02D11"/>
    <w:rsid w:val="00F02EE5"/>
    <w:rsid w:val="00F02F91"/>
    <w:rsid w:val="00F02FB4"/>
    <w:rsid w:val="00F03250"/>
    <w:rsid w:val="00F032E0"/>
    <w:rsid w:val="00F034D8"/>
    <w:rsid w:val="00F034F4"/>
    <w:rsid w:val="00F0351A"/>
    <w:rsid w:val="00F037A6"/>
    <w:rsid w:val="00F037B8"/>
    <w:rsid w:val="00F03842"/>
    <w:rsid w:val="00F038E3"/>
    <w:rsid w:val="00F03DF9"/>
    <w:rsid w:val="00F03E2B"/>
    <w:rsid w:val="00F03E62"/>
    <w:rsid w:val="00F03E72"/>
    <w:rsid w:val="00F043A9"/>
    <w:rsid w:val="00F04420"/>
    <w:rsid w:val="00F04633"/>
    <w:rsid w:val="00F04979"/>
    <w:rsid w:val="00F04A50"/>
    <w:rsid w:val="00F04B7E"/>
    <w:rsid w:val="00F04D75"/>
    <w:rsid w:val="00F04E30"/>
    <w:rsid w:val="00F04EAF"/>
    <w:rsid w:val="00F05290"/>
    <w:rsid w:val="00F0532F"/>
    <w:rsid w:val="00F053C0"/>
    <w:rsid w:val="00F05952"/>
    <w:rsid w:val="00F05D04"/>
    <w:rsid w:val="00F06042"/>
    <w:rsid w:val="00F0625E"/>
    <w:rsid w:val="00F063B3"/>
    <w:rsid w:val="00F06625"/>
    <w:rsid w:val="00F0663D"/>
    <w:rsid w:val="00F06646"/>
    <w:rsid w:val="00F06674"/>
    <w:rsid w:val="00F0672C"/>
    <w:rsid w:val="00F067B6"/>
    <w:rsid w:val="00F069D0"/>
    <w:rsid w:val="00F06DDB"/>
    <w:rsid w:val="00F06F56"/>
    <w:rsid w:val="00F072EE"/>
    <w:rsid w:val="00F076D4"/>
    <w:rsid w:val="00F07A53"/>
    <w:rsid w:val="00F07A60"/>
    <w:rsid w:val="00F07A83"/>
    <w:rsid w:val="00F07A9F"/>
    <w:rsid w:val="00F07AD8"/>
    <w:rsid w:val="00F07E70"/>
    <w:rsid w:val="00F07EA4"/>
    <w:rsid w:val="00F0D130"/>
    <w:rsid w:val="00F105B4"/>
    <w:rsid w:val="00F10657"/>
    <w:rsid w:val="00F107A9"/>
    <w:rsid w:val="00F1094F"/>
    <w:rsid w:val="00F10957"/>
    <w:rsid w:val="00F10AEC"/>
    <w:rsid w:val="00F10BE4"/>
    <w:rsid w:val="00F10C19"/>
    <w:rsid w:val="00F10C2F"/>
    <w:rsid w:val="00F10D97"/>
    <w:rsid w:val="00F10E16"/>
    <w:rsid w:val="00F10E30"/>
    <w:rsid w:val="00F10F12"/>
    <w:rsid w:val="00F10FE5"/>
    <w:rsid w:val="00F11129"/>
    <w:rsid w:val="00F11351"/>
    <w:rsid w:val="00F11358"/>
    <w:rsid w:val="00F113B9"/>
    <w:rsid w:val="00F11722"/>
    <w:rsid w:val="00F11723"/>
    <w:rsid w:val="00F119CD"/>
    <w:rsid w:val="00F11ABF"/>
    <w:rsid w:val="00F11C22"/>
    <w:rsid w:val="00F11DBB"/>
    <w:rsid w:val="00F11F86"/>
    <w:rsid w:val="00F12263"/>
    <w:rsid w:val="00F1288B"/>
    <w:rsid w:val="00F12A40"/>
    <w:rsid w:val="00F12CA3"/>
    <w:rsid w:val="00F1309B"/>
    <w:rsid w:val="00F130DF"/>
    <w:rsid w:val="00F13221"/>
    <w:rsid w:val="00F134AC"/>
    <w:rsid w:val="00F13988"/>
    <w:rsid w:val="00F13C86"/>
    <w:rsid w:val="00F13CFC"/>
    <w:rsid w:val="00F13ED2"/>
    <w:rsid w:val="00F14378"/>
    <w:rsid w:val="00F14459"/>
    <w:rsid w:val="00F14746"/>
    <w:rsid w:val="00F147D8"/>
    <w:rsid w:val="00F1482D"/>
    <w:rsid w:val="00F148C2"/>
    <w:rsid w:val="00F14A8E"/>
    <w:rsid w:val="00F14ADA"/>
    <w:rsid w:val="00F14CAF"/>
    <w:rsid w:val="00F14D73"/>
    <w:rsid w:val="00F14DFF"/>
    <w:rsid w:val="00F14EBA"/>
    <w:rsid w:val="00F15052"/>
    <w:rsid w:val="00F1505C"/>
    <w:rsid w:val="00F151B6"/>
    <w:rsid w:val="00F152D0"/>
    <w:rsid w:val="00F15365"/>
    <w:rsid w:val="00F15503"/>
    <w:rsid w:val="00F1555E"/>
    <w:rsid w:val="00F156E4"/>
    <w:rsid w:val="00F15A6D"/>
    <w:rsid w:val="00F15AF9"/>
    <w:rsid w:val="00F15D17"/>
    <w:rsid w:val="00F15D47"/>
    <w:rsid w:val="00F15DDB"/>
    <w:rsid w:val="00F16423"/>
    <w:rsid w:val="00F165F8"/>
    <w:rsid w:val="00F16610"/>
    <w:rsid w:val="00F1663F"/>
    <w:rsid w:val="00F16978"/>
    <w:rsid w:val="00F16AA6"/>
    <w:rsid w:val="00F16ADA"/>
    <w:rsid w:val="00F16BCE"/>
    <w:rsid w:val="00F16C7C"/>
    <w:rsid w:val="00F16F0F"/>
    <w:rsid w:val="00F171FB"/>
    <w:rsid w:val="00F17506"/>
    <w:rsid w:val="00F177C5"/>
    <w:rsid w:val="00F17810"/>
    <w:rsid w:val="00F17864"/>
    <w:rsid w:val="00F1799E"/>
    <w:rsid w:val="00F179F7"/>
    <w:rsid w:val="00F17A31"/>
    <w:rsid w:val="00F17B01"/>
    <w:rsid w:val="00F17B20"/>
    <w:rsid w:val="00F17B31"/>
    <w:rsid w:val="00F17C37"/>
    <w:rsid w:val="00F17C66"/>
    <w:rsid w:val="00F17D60"/>
    <w:rsid w:val="00F17F52"/>
    <w:rsid w:val="00F17F7D"/>
    <w:rsid w:val="00F17FA2"/>
    <w:rsid w:val="00F20333"/>
    <w:rsid w:val="00F20545"/>
    <w:rsid w:val="00F20714"/>
    <w:rsid w:val="00F208E0"/>
    <w:rsid w:val="00F208E8"/>
    <w:rsid w:val="00F20A45"/>
    <w:rsid w:val="00F20BA1"/>
    <w:rsid w:val="00F20BAD"/>
    <w:rsid w:val="00F20C05"/>
    <w:rsid w:val="00F20D3B"/>
    <w:rsid w:val="00F20D84"/>
    <w:rsid w:val="00F20DB0"/>
    <w:rsid w:val="00F20DBF"/>
    <w:rsid w:val="00F21098"/>
    <w:rsid w:val="00F21400"/>
    <w:rsid w:val="00F2158F"/>
    <w:rsid w:val="00F21677"/>
    <w:rsid w:val="00F219E2"/>
    <w:rsid w:val="00F21BEF"/>
    <w:rsid w:val="00F21C89"/>
    <w:rsid w:val="00F21CEC"/>
    <w:rsid w:val="00F21D6C"/>
    <w:rsid w:val="00F21E94"/>
    <w:rsid w:val="00F21EB8"/>
    <w:rsid w:val="00F22032"/>
    <w:rsid w:val="00F22387"/>
    <w:rsid w:val="00F223B9"/>
    <w:rsid w:val="00F2299A"/>
    <w:rsid w:val="00F22C97"/>
    <w:rsid w:val="00F22CD5"/>
    <w:rsid w:val="00F22D39"/>
    <w:rsid w:val="00F23055"/>
    <w:rsid w:val="00F23109"/>
    <w:rsid w:val="00F234E6"/>
    <w:rsid w:val="00F2365C"/>
    <w:rsid w:val="00F23A47"/>
    <w:rsid w:val="00F23D29"/>
    <w:rsid w:val="00F23D80"/>
    <w:rsid w:val="00F23DB0"/>
    <w:rsid w:val="00F24161"/>
    <w:rsid w:val="00F2423D"/>
    <w:rsid w:val="00F243E9"/>
    <w:rsid w:val="00F24583"/>
    <w:rsid w:val="00F2462C"/>
    <w:rsid w:val="00F24875"/>
    <w:rsid w:val="00F249D1"/>
    <w:rsid w:val="00F24A74"/>
    <w:rsid w:val="00F24B1B"/>
    <w:rsid w:val="00F24C1C"/>
    <w:rsid w:val="00F24FD3"/>
    <w:rsid w:val="00F24FF4"/>
    <w:rsid w:val="00F2502A"/>
    <w:rsid w:val="00F2507B"/>
    <w:rsid w:val="00F250AE"/>
    <w:rsid w:val="00F252B1"/>
    <w:rsid w:val="00F25386"/>
    <w:rsid w:val="00F2538B"/>
    <w:rsid w:val="00F25550"/>
    <w:rsid w:val="00F255C5"/>
    <w:rsid w:val="00F2565D"/>
    <w:rsid w:val="00F256DD"/>
    <w:rsid w:val="00F25708"/>
    <w:rsid w:val="00F25745"/>
    <w:rsid w:val="00F25B1D"/>
    <w:rsid w:val="00F25C2C"/>
    <w:rsid w:val="00F26166"/>
    <w:rsid w:val="00F261EE"/>
    <w:rsid w:val="00F26380"/>
    <w:rsid w:val="00F26475"/>
    <w:rsid w:val="00F26636"/>
    <w:rsid w:val="00F2665C"/>
    <w:rsid w:val="00F26770"/>
    <w:rsid w:val="00F26776"/>
    <w:rsid w:val="00F268F4"/>
    <w:rsid w:val="00F26D51"/>
    <w:rsid w:val="00F26DBB"/>
    <w:rsid w:val="00F26F6C"/>
    <w:rsid w:val="00F27189"/>
    <w:rsid w:val="00F273BA"/>
    <w:rsid w:val="00F273C8"/>
    <w:rsid w:val="00F2740D"/>
    <w:rsid w:val="00F275AC"/>
    <w:rsid w:val="00F27C2E"/>
    <w:rsid w:val="00F27C63"/>
    <w:rsid w:val="00F27D3F"/>
    <w:rsid w:val="00F3027B"/>
    <w:rsid w:val="00F3051F"/>
    <w:rsid w:val="00F30588"/>
    <w:rsid w:val="00F30626"/>
    <w:rsid w:val="00F3070B"/>
    <w:rsid w:val="00F30861"/>
    <w:rsid w:val="00F30A21"/>
    <w:rsid w:val="00F30ADA"/>
    <w:rsid w:val="00F312F8"/>
    <w:rsid w:val="00F3142F"/>
    <w:rsid w:val="00F314F5"/>
    <w:rsid w:val="00F315CD"/>
    <w:rsid w:val="00F31793"/>
    <w:rsid w:val="00F31EEA"/>
    <w:rsid w:val="00F32005"/>
    <w:rsid w:val="00F3213E"/>
    <w:rsid w:val="00F3218E"/>
    <w:rsid w:val="00F32523"/>
    <w:rsid w:val="00F32613"/>
    <w:rsid w:val="00F326EB"/>
    <w:rsid w:val="00F326F1"/>
    <w:rsid w:val="00F32910"/>
    <w:rsid w:val="00F32C9F"/>
    <w:rsid w:val="00F32D9D"/>
    <w:rsid w:val="00F330F7"/>
    <w:rsid w:val="00F33206"/>
    <w:rsid w:val="00F33376"/>
    <w:rsid w:val="00F3343E"/>
    <w:rsid w:val="00F3365B"/>
    <w:rsid w:val="00F3383D"/>
    <w:rsid w:val="00F338A6"/>
    <w:rsid w:val="00F33957"/>
    <w:rsid w:val="00F33B6C"/>
    <w:rsid w:val="00F33CBD"/>
    <w:rsid w:val="00F33CCB"/>
    <w:rsid w:val="00F33E0E"/>
    <w:rsid w:val="00F34299"/>
    <w:rsid w:val="00F3430F"/>
    <w:rsid w:val="00F343C4"/>
    <w:rsid w:val="00F346C6"/>
    <w:rsid w:val="00F346FB"/>
    <w:rsid w:val="00F34B22"/>
    <w:rsid w:val="00F34CCB"/>
    <w:rsid w:val="00F34D36"/>
    <w:rsid w:val="00F34D4F"/>
    <w:rsid w:val="00F34F65"/>
    <w:rsid w:val="00F34F7A"/>
    <w:rsid w:val="00F34FCB"/>
    <w:rsid w:val="00F35027"/>
    <w:rsid w:val="00F35320"/>
    <w:rsid w:val="00F35394"/>
    <w:rsid w:val="00F354D8"/>
    <w:rsid w:val="00F3555A"/>
    <w:rsid w:val="00F35825"/>
    <w:rsid w:val="00F35902"/>
    <w:rsid w:val="00F35A18"/>
    <w:rsid w:val="00F35A3E"/>
    <w:rsid w:val="00F35DF9"/>
    <w:rsid w:val="00F35F6C"/>
    <w:rsid w:val="00F35FDA"/>
    <w:rsid w:val="00F36129"/>
    <w:rsid w:val="00F36205"/>
    <w:rsid w:val="00F3627E"/>
    <w:rsid w:val="00F36563"/>
    <w:rsid w:val="00F365AE"/>
    <w:rsid w:val="00F366AE"/>
    <w:rsid w:val="00F366E5"/>
    <w:rsid w:val="00F367D2"/>
    <w:rsid w:val="00F368E6"/>
    <w:rsid w:val="00F368F9"/>
    <w:rsid w:val="00F36919"/>
    <w:rsid w:val="00F36CA4"/>
    <w:rsid w:val="00F36CC0"/>
    <w:rsid w:val="00F36CCF"/>
    <w:rsid w:val="00F37061"/>
    <w:rsid w:val="00F372B3"/>
    <w:rsid w:val="00F37D46"/>
    <w:rsid w:val="00F37F9B"/>
    <w:rsid w:val="00F37F9F"/>
    <w:rsid w:val="00F40266"/>
    <w:rsid w:val="00F40586"/>
    <w:rsid w:val="00F40599"/>
    <w:rsid w:val="00F407B1"/>
    <w:rsid w:val="00F407EA"/>
    <w:rsid w:val="00F408F1"/>
    <w:rsid w:val="00F4093B"/>
    <w:rsid w:val="00F409DA"/>
    <w:rsid w:val="00F40C20"/>
    <w:rsid w:val="00F40F6D"/>
    <w:rsid w:val="00F41046"/>
    <w:rsid w:val="00F4108C"/>
    <w:rsid w:val="00F4108D"/>
    <w:rsid w:val="00F410DE"/>
    <w:rsid w:val="00F41151"/>
    <w:rsid w:val="00F414F7"/>
    <w:rsid w:val="00F416C9"/>
    <w:rsid w:val="00F416F2"/>
    <w:rsid w:val="00F416FE"/>
    <w:rsid w:val="00F41749"/>
    <w:rsid w:val="00F419C4"/>
    <w:rsid w:val="00F41CC4"/>
    <w:rsid w:val="00F41CCD"/>
    <w:rsid w:val="00F41E22"/>
    <w:rsid w:val="00F41E4C"/>
    <w:rsid w:val="00F4203A"/>
    <w:rsid w:val="00F4206C"/>
    <w:rsid w:val="00F420CD"/>
    <w:rsid w:val="00F42112"/>
    <w:rsid w:val="00F42167"/>
    <w:rsid w:val="00F421A3"/>
    <w:rsid w:val="00F4224E"/>
    <w:rsid w:val="00F4240A"/>
    <w:rsid w:val="00F4242E"/>
    <w:rsid w:val="00F425EA"/>
    <w:rsid w:val="00F426BC"/>
    <w:rsid w:val="00F428CA"/>
    <w:rsid w:val="00F42918"/>
    <w:rsid w:val="00F42AEA"/>
    <w:rsid w:val="00F42D03"/>
    <w:rsid w:val="00F42F46"/>
    <w:rsid w:val="00F42FC4"/>
    <w:rsid w:val="00F433B5"/>
    <w:rsid w:val="00F434F3"/>
    <w:rsid w:val="00F43908"/>
    <w:rsid w:val="00F43967"/>
    <w:rsid w:val="00F43CBF"/>
    <w:rsid w:val="00F4406D"/>
    <w:rsid w:val="00F44136"/>
    <w:rsid w:val="00F44245"/>
    <w:rsid w:val="00F447FD"/>
    <w:rsid w:val="00F44818"/>
    <w:rsid w:val="00F448AD"/>
    <w:rsid w:val="00F448BB"/>
    <w:rsid w:val="00F44EDF"/>
    <w:rsid w:val="00F44F7B"/>
    <w:rsid w:val="00F44FA0"/>
    <w:rsid w:val="00F452A8"/>
    <w:rsid w:val="00F45309"/>
    <w:rsid w:val="00F4537F"/>
    <w:rsid w:val="00F453B3"/>
    <w:rsid w:val="00F45574"/>
    <w:rsid w:val="00F45698"/>
    <w:rsid w:val="00F45984"/>
    <w:rsid w:val="00F459F0"/>
    <w:rsid w:val="00F45B05"/>
    <w:rsid w:val="00F45BCE"/>
    <w:rsid w:val="00F45C39"/>
    <w:rsid w:val="00F45EE5"/>
    <w:rsid w:val="00F45F48"/>
    <w:rsid w:val="00F4607F"/>
    <w:rsid w:val="00F46394"/>
    <w:rsid w:val="00F464C0"/>
    <w:rsid w:val="00F46802"/>
    <w:rsid w:val="00F4683F"/>
    <w:rsid w:val="00F46917"/>
    <w:rsid w:val="00F46945"/>
    <w:rsid w:val="00F4699D"/>
    <w:rsid w:val="00F469A0"/>
    <w:rsid w:val="00F469CB"/>
    <w:rsid w:val="00F46B52"/>
    <w:rsid w:val="00F46BD5"/>
    <w:rsid w:val="00F46BF4"/>
    <w:rsid w:val="00F46D55"/>
    <w:rsid w:val="00F47018"/>
    <w:rsid w:val="00F47201"/>
    <w:rsid w:val="00F47521"/>
    <w:rsid w:val="00F475BD"/>
    <w:rsid w:val="00F476D7"/>
    <w:rsid w:val="00F47818"/>
    <w:rsid w:val="00F4790B"/>
    <w:rsid w:val="00F47B75"/>
    <w:rsid w:val="00F47BB8"/>
    <w:rsid w:val="00F47D24"/>
    <w:rsid w:val="00F47E89"/>
    <w:rsid w:val="00F47F3F"/>
    <w:rsid w:val="00F47F63"/>
    <w:rsid w:val="00F47FAE"/>
    <w:rsid w:val="00F50104"/>
    <w:rsid w:val="00F502A8"/>
    <w:rsid w:val="00F503C4"/>
    <w:rsid w:val="00F50409"/>
    <w:rsid w:val="00F50412"/>
    <w:rsid w:val="00F50D8F"/>
    <w:rsid w:val="00F50DF2"/>
    <w:rsid w:val="00F510A8"/>
    <w:rsid w:val="00F51200"/>
    <w:rsid w:val="00F514E9"/>
    <w:rsid w:val="00F51BB6"/>
    <w:rsid w:val="00F51BEB"/>
    <w:rsid w:val="00F51BEC"/>
    <w:rsid w:val="00F51C38"/>
    <w:rsid w:val="00F51C98"/>
    <w:rsid w:val="00F51EB0"/>
    <w:rsid w:val="00F52184"/>
    <w:rsid w:val="00F5222E"/>
    <w:rsid w:val="00F52235"/>
    <w:rsid w:val="00F52246"/>
    <w:rsid w:val="00F52523"/>
    <w:rsid w:val="00F525DD"/>
    <w:rsid w:val="00F5274B"/>
    <w:rsid w:val="00F527C6"/>
    <w:rsid w:val="00F52818"/>
    <w:rsid w:val="00F52A79"/>
    <w:rsid w:val="00F52C8C"/>
    <w:rsid w:val="00F52CF5"/>
    <w:rsid w:val="00F52E54"/>
    <w:rsid w:val="00F52EF4"/>
    <w:rsid w:val="00F52FEC"/>
    <w:rsid w:val="00F531D5"/>
    <w:rsid w:val="00F53343"/>
    <w:rsid w:val="00F533F3"/>
    <w:rsid w:val="00F534FD"/>
    <w:rsid w:val="00F53630"/>
    <w:rsid w:val="00F53658"/>
    <w:rsid w:val="00F536D1"/>
    <w:rsid w:val="00F537A9"/>
    <w:rsid w:val="00F53903"/>
    <w:rsid w:val="00F5390F"/>
    <w:rsid w:val="00F5394B"/>
    <w:rsid w:val="00F53AD5"/>
    <w:rsid w:val="00F53B1A"/>
    <w:rsid w:val="00F53BAF"/>
    <w:rsid w:val="00F53CD0"/>
    <w:rsid w:val="00F53D07"/>
    <w:rsid w:val="00F53EA5"/>
    <w:rsid w:val="00F53F1F"/>
    <w:rsid w:val="00F53FBA"/>
    <w:rsid w:val="00F5401A"/>
    <w:rsid w:val="00F54951"/>
    <w:rsid w:val="00F54A42"/>
    <w:rsid w:val="00F54AE2"/>
    <w:rsid w:val="00F54B68"/>
    <w:rsid w:val="00F54BC5"/>
    <w:rsid w:val="00F54D06"/>
    <w:rsid w:val="00F54E5C"/>
    <w:rsid w:val="00F55154"/>
    <w:rsid w:val="00F55183"/>
    <w:rsid w:val="00F551E5"/>
    <w:rsid w:val="00F552C6"/>
    <w:rsid w:val="00F55368"/>
    <w:rsid w:val="00F554BF"/>
    <w:rsid w:val="00F5560D"/>
    <w:rsid w:val="00F55616"/>
    <w:rsid w:val="00F55723"/>
    <w:rsid w:val="00F5575D"/>
    <w:rsid w:val="00F5576A"/>
    <w:rsid w:val="00F557DA"/>
    <w:rsid w:val="00F55808"/>
    <w:rsid w:val="00F55826"/>
    <w:rsid w:val="00F55F11"/>
    <w:rsid w:val="00F55FD6"/>
    <w:rsid w:val="00F56152"/>
    <w:rsid w:val="00F562A0"/>
    <w:rsid w:val="00F5635D"/>
    <w:rsid w:val="00F5648A"/>
    <w:rsid w:val="00F564DE"/>
    <w:rsid w:val="00F5652C"/>
    <w:rsid w:val="00F56670"/>
    <w:rsid w:val="00F5672A"/>
    <w:rsid w:val="00F569C7"/>
    <w:rsid w:val="00F56C18"/>
    <w:rsid w:val="00F56C27"/>
    <w:rsid w:val="00F56E38"/>
    <w:rsid w:val="00F5734D"/>
    <w:rsid w:val="00F5739A"/>
    <w:rsid w:val="00F57532"/>
    <w:rsid w:val="00F57AC7"/>
    <w:rsid w:val="00F57BCB"/>
    <w:rsid w:val="00F57C00"/>
    <w:rsid w:val="00F57C1F"/>
    <w:rsid w:val="00F60145"/>
    <w:rsid w:val="00F601AC"/>
    <w:rsid w:val="00F60296"/>
    <w:rsid w:val="00F60660"/>
    <w:rsid w:val="00F60758"/>
    <w:rsid w:val="00F608E6"/>
    <w:rsid w:val="00F60959"/>
    <w:rsid w:val="00F609F3"/>
    <w:rsid w:val="00F60CA7"/>
    <w:rsid w:val="00F60D03"/>
    <w:rsid w:val="00F60D66"/>
    <w:rsid w:val="00F6104F"/>
    <w:rsid w:val="00F61348"/>
    <w:rsid w:val="00F616DF"/>
    <w:rsid w:val="00F6192A"/>
    <w:rsid w:val="00F61A70"/>
    <w:rsid w:val="00F61AC7"/>
    <w:rsid w:val="00F61B76"/>
    <w:rsid w:val="00F61EA7"/>
    <w:rsid w:val="00F61FCF"/>
    <w:rsid w:val="00F621F3"/>
    <w:rsid w:val="00F623E4"/>
    <w:rsid w:val="00F62512"/>
    <w:rsid w:val="00F6264F"/>
    <w:rsid w:val="00F62902"/>
    <w:rsid w:val="00F62AFB"/>
    <w:rsid w:val="00F62B26"/>
    <w:rsid w:val="00F62C97"/>
    <w:rsid w:val="00F62E6B"/>
    <w:rsid w:val="00F6322D"/>
    <w:rsid w:val="00F634C6"/>
    <w:rsid w:val="00F63526"/>
    <w:rsid w:val="00F63599"/>
    <w:rsid w:val="00F63619"/>
    <w:rsid w:val="00F636CA"/>
    <w:rsid w:val="00F6387D"/>
    <w:rsid w:val="00F63887"/>
    <w:rsid w:val="00F638B8"/>
    <w:rsid w:val="00F6395C"/>
    <w:rsid w:val="00F63A9D"/>
    <w:rsid w:val="00F63BB3"/>
    <w:rsid w:val="00F63DE6"/>
    <w:rsid w:val="00F63EE8"/>
    <w:rsid w:val="00F6400E"/>
    <w:rsid w:val="00F64016"/>
    <w:rsid w:val="00F6401C"/>
    <w:rsid w:val="00F641AF"/>
    <w:rsid w:val="00F641D5"/>
    <w:rsid w:val="00F64236"/>
    <w:rsid w:val="00F6428A"/>
    <w:rsid w:val="00F642AD"/>
    <w:rsid w:val="00F645E1"/>
    <w:rsid w:val="00F64672"/>
    <w:rsid w:val="00F648C0"/>
    <w:rsid w:val="00F64A39"/>
    <w:rsid w:val="00F64BA5"/>
    <w:rsid w:val="00F64BDB"/>
    <w:rsid w:val="00F64DCD"/>
    <w:rsid w:val="00F64FBB"/>
    <w:rsid w:val="00F6542C"/>
    <w:rsid w:val="00F65436"/>
    <w:rsid w:val="00F655B2"/>
    <w:rsid w:val="00F65822"/>
    <w:rsid w:val="00F65966"/>
    <w:rsid w:val="00F65BA7"/>
    <w:rsid w:val="00F65CF4"/>
    <w:rsid w:val="00F66002"/>
    <w:rsid w:val="00F66055"/>
    <w:rsid w:val="00F66613"/>
    <w:rsid w:val="00F667DB"/>
    <w:rsid w:val="00F66821"/>
    <w:rsid w:val="00F66C97"/>
    <w:rsid w:val="00F66D14"/>
    <w:rsid w:val="00F66DA2"/>
    <w:rsid w:val="00F66F22"/>
    <w:rsid w:val="00F670C7"/>
    <w:rsid w:val="00F670C9"/>
    <w:rsid w:val="00F672FA"/>
    <w:rsid w:val="00F673D6"/>
    <w:rsid w:val="00F6741A"/>
    <w:rsid w:val="00F6761D"/>
    <w:rsid w:val="00F6764F"/>
    <w:rsid w:val="00F678EC"/>
    <w:rsid w:val="00F67982"/>
    <w:rsid w:val="00F67BF6"/>
    <w:rsid w:val="00F67FE8"/>
    <w:rsid w:val="00F7015D"/>
    <w:rsid w:val="00F7043C"/>
    <w:rsid w:val="00F7062C"/>
    <w:rsid w:val="00F70764"/>
    <w:rsid w:val="00F70D55"/>
    <w:rsid w:val="00F70E1D"/>
    <w:rsid w:val="00F70FB5"/>
    <w:rsid w:val="00F711B7"/>
    <w:rsid w:val="00F712F0"/>
    <w:rsid w:val="00F7146D"/>
    <w:rsid w:val="00F714DF"/>
    <w:rsid w:val="00F71524"/>
    <w:rsid w:val="00F71573"/>
    <w:rsid w:val="00F71586"/>
    <w:rsid w:val="00F715CC"/>
    <w:rsid w:val="00F71618"/>
    <w:rsid w:val="00F716BA"/>
    <w:rsid w:val="00F7180C"/>
    <w:rsid w:val="00F718F1"/>
    <w:rsid w:val="00F71A8F"/>
    <w:rsid w:val="00F71B30"/>
    <w:rsid w:val="00F722F3"/>
    <w:rsid w:val="00F72423"/>
    <w:rsid w:val="00F7281D"/>
    <w:rsid w:val="00F72A0B"/>
    <w:rsid w:val="00F72E2B"/>
    <w:rsid w:val="00F7302C"/>
    <w:rsid w:val="00F7314B"/>
    <w:rsid w:val="00F7323F"/>
    <w:rsid w:val="00F73255"/>
    <w:rsid w:val="00F732DA"/>
    <w:rsid w:val="00F734C7"/>
    <w:rsid w:val="00F7356A"/>
    <w:rsid w:val="00F73992"/>
    <w:rsid w:val="00F73A29"/>
    <w:rsid w:val="00F73E98"/>
    <w:rsid w:val="00F73F62"/>
    <w:rsid w:val="00F740E3"/>
    <w:rsid w:val="00F7416E"/>
    <w:rsid w:val="00F74315"/>
    <w:rsid w:val="00F74492"/>
    <w:rsid w:val="00F74666"/>
    <w:rsid w:val="00F746AA"/>
    <w:rsid w:val="00F74772"/>
    <w:rsid w:val="00F74A57"/>
    <w:rsid w:val="00F74D53"/>
    <w:rsid w:val="00F74FBB"/>
    <w:rsid w:val="00F7507A"/>
    <w:rsid w:val="00F753FF"/>
    <w:rsid w:val="00F754C5"/>
    <w:rsid w:val="00F7557A"/>
    <w:rsid w:val="00F75CBB"/>
    <w:rsid w:val="00F75CD3"/>
    <w:rsid w:val="00F75D3D"/>
    <w:rsid w:val="00F75E5C"/>
    <w:rsid w:val="00F76115"/>
    <w:rsid w:val="00F761E7"/>
    <w:rsid w:val="00F7622C"/>
    <w:rsid w:val="00F762F1"/>
    <w:rsid w:val="00F7638F"/>
    <w:rsid w:val="00F764B1"/>
    <w:rsid w:val="00F7663E"/>
    <w:rsid w:val="00F767B6"/>
    <w:rsid w:val="00F768F0"/>
    <w:rsid w:val="00F76934"/>
    <w:rsid w:val="00F769B8"/>
    <w:rsid w:val="00F76D28"/>
    <w:rsid w:val="00F76F61"/>
    <w:rsid w:val="00F76FCF"/>
    <w:rsid w:val="00F771CC"/>
    <w:rsid w:val="00F77238"/>
    <w:rsid w:val="00F77258"/>
    <w:rsid w:val="00F77291"/>
    <w:rsid w:val="00F7733B"/>
    <w:rsid w:val="00F7746C"/>
    <w:rsid w:val="00F77546"/>
    <w:rsid w:val="00F77578"/>
    <w:rsid w:val="00F776D7"/>
    <w:rsid w:val="00F776FC"/>
    <w:rsid w:val="00F77865"/>
    <w:rsid w:val="00F77A3C"/>
    <w:rsid w:val="00F77B2D"/>
    <w:rsid w:val="00F77B30"/>
    <w:rsid w:val="00F77BEF"/>
    <w:rsid w:val="00F77C8F"/>
    <w:rsid w:val="00F77E11"/>
    <w:rsid w:val="00F77E5A"/>
    <w:rsid w:val="00F77F55"/>
    <w:rsid w:val="00F8001C"/>
    <w:rsid w:val="00F802E3"/>
    <w:rsid w:val="00F80322"/>
    <w:rsid w:val="00F80619"/>
    <w:rsid w:val="00F806F5"/>
    <w:rsid w:val="00F80858"/>
    <w:rsid w:val="00F808B1"/>
    <w:rsid w:val="00F80936"/>
    <w:rsid w:val="00F80A08"/>
    <w:rsid w:val="00F80A91"/>
    <w:rsid w:val="00F80D8F"/>
    <w:rsid w:val="00F80DFB"/>
    <w:rsid w:val="00F80E67"/>
    <w:rsid w:val="00F80FA4"/>
    <w:rsid w:val="00F81058"/>
    <w:rsid w:val="00F810A2"/>
    <w:rsid w:val="00F812C0"/>
    <w:rsid w:val="00F81393"/>
    <w:rsid w:val="00F8144B"/>
    <w:rsid w:val="00F8160E"/>
    <w:rsid w:val="00F817ED"/>
    <w:rsid w:val="00F81A38"/>
    <w:rsid w:val="00F81A88"/>
    <w:rsid w:val="00F81B13"/>
    <w:rsid w:val="00F81BD3"/>
    <w:rsid w:val="00F81C3F"/>
    <w:rsid w:val="00F81D8F"/>
    <w:rsid w:val="00F81E98"/>
    <w:rsid w:val="00F8207D"/>
    <w:rsid w:val="00F82260"/>
    <w:rsid w:val="00F8229D"/>
    <w:rsid w:val="00F823C8"/>
    <w:rsid w:val="00F8255C"/>
    <w:rsid w:val="00F826F3"/>
    <w:rsid w:val="00F8290A"/>
    <w:rsid w:val="00F82914"/>
    <w:rsid w:val="00F829B1"/>
    <w:rsid w:val="00F829EF"/>
    <w:rsid w:val="00F82C13"/>
    <w:rsid w:val="00F82CE7"/>
    <w:rsid w:val="00F82F6B"/>
    <w:rsid w:val="00F831C8"/>
    <w:rsid w:val="00F83210"/>
    <w:rsid w:val="00F83370"/>
    <w:rsid w:val="00F834A2"/>
    <w:rsid w:val="00F8363F"/>
    <w:rsid w:val="00F83724"/>
    <w:rsid w:val="00F83748"/>
    <w:rsid w:val="00F83765"/>
    <w:rsid w:val="00F83850"/>
    <w:rsid w:val="00F839E2"/>
    <w:rsid w:val="00F83B9B"/>
    <w:rsid w:val="00F83BB1"/>
    <w:rsid w:val="00F83D5D"/>
    <w:rsid w:val="00F83D97"/>
    <w:rsid w:val="00F83E55"/>
    <w:rsid w:val="00F83E58"/>
    <w:rsid w:val="00F84136"/>
    <w:rsid w:val="00F84522"/>
    <w:rsid w:val="00F84523"/>
    <w:rsid w:val="00F8460F"/>
    <w:rsid w:val="00F846E3"/>
    <w:rsid w:val="00F847D5"/>
    <w:rsid w:val="00F847FF"/>
    <w:rsid w:val="00F8484F"/>
    <w:rsid w:val="00F8487E"/>
    <w:rsid w:val="00F84913"/>
    <w:rsid w:val="00F849DA"/>
    <w:rsid w:val="00F84BFA"/>
    <w:rsid w:val="00F84C3C"/>
    <w:rsid w:val="00F84E11"/>
    <w:rsid w:val="00F851D1"/>
    <w:rsid w:val="00F85571"/>
    <w:rsid w:val="00F857E2"/>
    <w:rsid w:val="00F85893"/>
    <w:rsid w:val="00F85C5A"/>
    <w:rsid w:val="00F85CB7"/>
    <w:rsid w:val="00F85FB2"/>
    <w:rsid w:val="00F85FEC"/>
    <w:rsid w:val="00F86198"/>
    <w:rsid w:val="00F863BA"/>
    <w:rsid w:val="00F86467"/>
    <w:rsid w:val="00F8667B"/>
    <w:rsid w:val="00F86771"/>
    <w:rsid w:val="00F867C4"/>
    <w:rsid w:val="00F86841"/>
    <w:rsid w:val="00F869CA"/>
    <w:rsid w:val="00F86B1D"/>
    <w:rsid w:val="00F86C4F"/>
    <w:rsid w:val="00F86DBF"/>
    <w:rsid w:val="00F86E90"/>
    <w:rsid w:val="00F870D5"/>
    <w:rsid w:val="00F87316"/>
    <w:rsid w:val="00F87440"/>
    <w:rsid w:val="00F8747C"/>
    <w:rsid w:val="00F87563"/>
    <w:rsid w:val="00F875B9"/>
    <w:rsid w:val="00F8796B"/>
    <w:rsid w:val="00F8799B"/>
    <w:rsid w:val="00F87A3F"/>
    <w:rsid w:val="00F87B05"/>
    <w:rsid w:val="00F87B1F"/>
    <w:rsid w:val="00F87C1A"/>
    <w:rsid w:val="00F87CA4"/>
    <w:rsid w:val="00F87CBD"/>
    <w:rsid w:val="00F87EA6"/>
    <w:rsid w:val="00F90110"/>
    <w:rsid w:val="00F902F9"/>
    <w:rsid w:val="00F9037C"/>
    <w:rsid w:val="00F9039F"/>
    <w:rsid w:val="00F90582"/>
    <w:rsid w:val="00F90DB5"/>
    <w:rsid w:val="00F90F5F"/>
    <w:rsid w:val="00F910CB"/>
    <w:rsid w:val="00F912F4"/>
    <w:rsid w:val="00F912F6"/>
    <w:rsid w:val="00F91612"/>
    <w:rsid w:val="00F916A1"/>
    <w:rsid w:val="00F91965"/>
    <w:rsid w:val="00F919A6"/>
    <w:rsid w:val="00F91AAA"/>
    <w:rsid w:val="00F91CDB"/>
    <w:rsid w:val="00F91E17"/>
    <w:rsid w:val="00F91EEF"/>
    <w:rsid w:val="00F92193"/>
    <w:rsid w:val="00F9224F"/>
    <w:rsid w:val="00F92250"/>
    <w:rsid w:val="00F922B3"/>
    <w:rsid w:val="00F92328"/>
    <w:rsid w:val="00F923EF"/>
    <w:rsid w:val="00F9243B"/>
    <w:rsid w:val="00F92753"/>
    <w:rsid w:val="00F927F7"/>
    <w:rsid w:val="00F9285F"/>
    <w:rsid w:val="00F928A6"/>
    <w:rsid w:val="00F92977"/>
    <w:rsid w:val="00F92997"/>
    <w:rsid w:val="00F92A66"/>
    <w:rsid w:val="00F92C81"/>
    <w:rsid w:val="00F92D89"/>
    <w:rsid w:val="00F92E63"/>
    <w:rsid w:val="00F92F11"/>
    <w:rsid w:val="00F93142"/>
    <w:rsid w:val="00F93306"/>
    <w:rsid w:val="00F9333D"/>
    <w:rsid w:val="00F9341C"/>
    <w:rsid w:val="00F9358C"/>
    <w:rsid w:val="00F93750"/>
    <w:rsid w:val="00F9382A"/>
    <w:rsid w:val="00F93910"/>
    <w:rsid w:val="00F93A8B"/>
    <w:rsid w:val="00F93C05"/>
    <w:rsid w:val="00F93CF8"/>
    <w:rsid w:val="00F93D18"/>
    <w:rsid w:val="00F93E0A"/>
    <w:rsid w:val="00F93E4A"/>
    <w:rsid w:val="00F93F5E"/>
    <w:rsid w:val="00F94432"/>
    <w:rsid w:val="00F94639"/>
    <w:rsid w:val="00F9475E"/>
    <w:rsid w:val="00F94864"/>
    <w:rsid w:val="00F948E1"/>
    <w:rsid w:val="00F94A18"/>
    <w:rsid w:val="00F94A3A"/>
    <w:rsid w:val="00F94A7D"/>
    <w:rsid w:val="00F94C32"/>
    <w:rsid w:val="00F94D8C"/>
    <w:rsid w:val="00F94E11"/>
    <w:rsid w:val="00F95103"/>
    <w:rsid w:val="00F9534E"/>
    <w:rsid w:val="00F9552D"/>
    <w:rsid w:val="00F95635"/>
    <w:rsid w:val="00F95780"/>
    <w:rsid w:val="00F95828"/>
    <w:rsid w:val="00F95A18"/>
    <w:rsid w:val="00F95A21"/>
    <w:rsid w:val="00F95A67"/>
    <w:rsid w:val="00F95E11"/>
    <w:rsid w:val="00F95ECE"/>
    <w:rsid w:val="00F95EE7"/>
    <w:rsid w:val="00F960E9"/>
    <w:rsid w:val="00F96153"/>
    <w:rsid w:val="00F96212"/>
    <w:rsid w:val="00F96494"/>
    <w:rsid w:val="00F965BE"/>
    <w:rsid w:val="00F965C0"/>
    <w:rsid w:val="00F966B0"/>
    <w:rsid w:val="00F968DE"/>
    <w:rsid w:val="00F96994"/>
    <w:rsid w:val="00F96A18"/>
    <w:rsid w:val="00F96CA9"/>
    <w:rsid w:val="00F96CCB"/>
    <w:rsid w:val="00F96E52"/>
    <w:rsid w:val="00F96F8B"/>
    <w:rsid w:val="00F971DF"/>
    <w:rsid w:val="00F9723D"/>
    <w:rsid w:val="00F97333"/>
    <w:rsid w:val="00F97800"/>
    <w:rsid w:val="00F979FA"/>
    <w:rsid w:val="00F97B63"/>
    <w:rsid w:val="00F97C35"/>
    <w:rsid w:val="00FA0094"/>
    <w:rsid w:val="00FA0182"/>
    <w:rsid w:val="00FA020E"/>
    <w:rsid w:val="00FA025B"/>
    <w:rsid w:val="00FA03CE"/>
    <w:rsid w:val="00FA05DB"/>
    <w:rsid w:val="00FA075C"/>
    <w:rsid w:val="00FA0916"/>
    <w:rsid w:val="00FA09A5"/>
    <w:rsid w:val="00FA09BF"/>
    <w:rsid w:val="00FA0BB7"/>
    <w:rsid w:val="00FA0D8E"/>
    <w:rsid w:val="00FA0E09"/>
    <w:rsid w:val="00FA0F47"/>
    <w:rsid w:val="00FA10F2"/>
    <w:rsid w:val="00FA1401"/>
    <w:rsid w:val="00FA142B"/>
    <w:rsid w:val="00FA14B5"/>
    <w:rsid w:val="00FA15A5"/>
    <w:rsid w:val="00FA1614"/>
    <w:rsid w:val="00FA161D"/>
    <w:rsid w:val="00FA1791"/>
    <w:rsid w:val="00FA17CB"/>
    <w:rsid w:val="00FA18A7"/>
    <w:rsid w:val="00FA196B"/>
    <w:rsid w:val="00FA1A72"/>
    <w:rsid w:val="00FA1C14"/>
    <w:rsid w:val="00FA1D37"/>
    <w:rsid w:val="00FA1DF3"/>
    <w:rsid w:val="00FA1EB9"/>
    <w:rsid w:val="00FA1F60"/>
    <w:rsid w:val="00FA1F69"/>
    <w:rsid w:val="00FA1FEB"/>
    <w:rsid w:val="00FA2039"/>
    <w:rsid w:val="00FA220C"/>
    <w:rsid w:val="00FA225C"/>
    <w:rsid w:val="00FA22CC"/>
    <w:rsid w:val="00FA2339"/>
    <w:rsid w:val="00FA23BA"/>
    <w:rsid w:val="00FA2632"/>
    <w:rsid w:val="00FA2640"/>
    <w:rsid w:val="00FA2682"/>
    <w:rsid w:val="00FA2A8E"/>
    <w:rsid w:val="00FA2B2B"/>
    <w:rsid w:val="00FA2C3F"/>
    <w:rsid w:val="00FA30CD"/>
    <w:rsid w:val="00FA3166"/>
    <w:rsid w:val="00FA3353"/>
    <w:rsid w:val="00FA3668"/>
    <w:rsid w:val="00FA390B"/>
    <w:rsid w:val="00FA3B3E"/>
    <w:rsid w:val="00FA3B50"/>
    <w:rsid w:val="00FA3C57"/>
    <w:rsid w:val="00FA3DD9"/>
    <w:rsid w:val="00FA3E23"/>
    <w:rsid w:val="00FA3EFA"/>
    <w:rsid w:val="00FA436D"/>
    <w:rsid w:val="00FA45B8"/>
    <w:rsid w:val="00FA466B"/>
    <w:rsid w:val="00FA4C33"/>
    <w:rsid w:val="00FA4EF4"/>
    <w:rsid w:val="00FA5156"/>
    <w:rsid w:val="00FA530D"/>
    <w:rsid w:val="00FA575A"/>
    <w:rsid w:val="00FA587E"/>
    <w:rsid w:val="00FA5996"/>
    <w:rsid w:val="00FA5A7C"/>
    <w:rsid w:val="00FA5A83"/>
    <w:rsid w:val="00FA5AB2"/>
    <w:rsid w:val="00FA5CC2"/>
    <w:rsid w:val="00FA5EE0"/>
    <w:rsid w:val="00FA64F2"/>
    <w:rsid w:val="00FA6563"/>
    <w:rsid w:val="00FA6D07"/>
    <w:rsid w:val="00FA6D27"/>
    <w:rsid w:val="00FA6D3A"/>
    <w:rsid w:val="00FA6EA4"/>
    <w:rsid w:val="00FA7317"/>
    <w:rsid w:val="00FA73B3"/>
    <w:rsid w:val="00FA7428"/>
    <w:rsid w:val="00FA7874"/>
    <w:rsid w:val="00FA7956"/>
    <w:rsid w:val="00FA7977"/>
    <w:rsid w:val="00FA797C"/>
    <w:rsid w:val="00FA7985"/>
    <w:rsid w:val="00FA79CB"/>
    <w:rsid w:val="00FB019C"/>
    <w:rsid w:val="00FB02BE"/>
    <w:rsid w:val="00FB0703"/>
    <w:rsid w:val="00FB0715"/>
    <w:rsid w:val="00FB07A6"/>
    <w:rsid w:val="00FB0A0E"/>
    <w:rsid w:val="00FB0AA2"/>
    <w:rsid w:val="00FB0B76"/>
    <w:rsid w:val="00FB0BC0"/>
    <w:rsid w:val="00FB0C46"/>
    <w:rsid w:val="00FB10ED"/>
    <w:rsid w:val="00FB1295"/>
    <w:rsid w:val="00FB1341"/>
    <w:rsid w:val="00FB135B"/>
    <w:rsid w:val="00FB149F"/>
    <w:rsid w:val="00FB156E"/>
    <w:rsid w:val="00FB1BB3"/>
    <w:rsid w:val="00FB1BDA"/>
    <w:rsid w:val="00FB1E4D"/>
    <w:rsid w:val="00FB1E5A"/>
    <w:rsid w:val="00FB1E72"/>
    <w:rsid w:val="00FB2074"/>
    <w:rsid w:val="00FB242D"/>
    <w:rsid w:val="00FB2600"/>
    <w:rsid w:val="00FB26B4"/>
    <w:rsid w:val="00FB2739"/>
    <w:rsid w:val="00FB29A8"/>
    <w:rsid w:val="00FB2A4B"/>
    <w:rsid w:val="00FB2B3A"/>
    <w:rsid w:val="00FB2BEE"/>
    <w:rsid w:val="00FB2F5B"/>
    <w:rsid w:val="00FB30BF"/>
    <w:rsid w:val="00FB343A"/>
    <w:rsid w:val="00FB379B"/>
    <w:rsid w:val="00FB3C08"/>
    <w:rsid w:val="00FB3C16"/>
    <w:rsid w:val="00FB3D05"/>
    <w:rsid w:val="00FB3DC1"/>
    <w:rsid w:val="00FB3E20"/>
    <w:rsid w:val="00FB403C"/>
    <w:rsid w:val="00FB420A"/>
    <w:rsid w:val="00FB4387"/>
    <w:rsid w:val="00FB43C3"/>
    <w:rsid w:val="00FB43F7"/>
    <w:rsid w:val="00FB4443"/>
    <w:rsid w:val="00FB4634"/>
    <w:rsid w:val="00FB48C9"/>
    <w:rsid w:val="00FB48FE"/>
    <w:rsid w:val="00FB4911"/>
    <w:rsid w:val="00FB49FE"/>
    <w:rsid w:val="00FB4A0D"/>
    <w:rsid w:val="00FB4AB5"/>
    <w:rsid w:val="00FB4C16"/>
    <w:rsid w:val="00FB4ED3"/>
    <w:rsid w:val="00FB50BD"/>
    <w:rsid w:val="00FB5180"/>
    <w:rsid w:val="00FB52DA"/>
    <w:rsid w:val="00FB53B8"/>
    <w:rsid w:val="00FB545B"/>
    <w:rsid w:val="00FB559A"/>
    <w:rsid w:val="00FB55D6"/>
    <w:rsid w:val="00FB5879"/>
    <w:rsid w:val="00FB588C"/>
    <w:rsid w:val="00FB5965"/>
    <w:rsid w:val="00FB5966"/>
    <w:rsid w:val="00FB5C9E"/>
    <w:rsid w:val="00FB5D04"/>
    <w:rsid w:val="00FB6038"/>
    <w:rsid w:val="00FB61D3"/>
    <w:rsid w:val="00FB61ED"/>
    <w:rsid w:val="00FB626C"/>
    <w:rsid w:val="00FB63BC"/>
    <w:rsid w:val="00FB659C"/>
    <w:rsid w:val="00FB68F6"/>
    <w:rsid w:val="00FB69BA"/>
    <w:rsid w:val="00FB69C8"/>
    <w:rsid w:val="00FB6D1A"/>
    <w:rsid w:val="00FB6D4D"/>
    <w:rsid w:val="00FB6D50"/>
    <w:rsid w:val="00FB6D5E"/>
    <w:rsid w:val="00FB6DA0"/>
    <w:rsid w:val="00FB6EA7"/>
    <w:rsid w:val="00FB7053"/>
    <w:rsid w:val="00FB708A"/>
    <w:rsid w:val="00FB72C9"/>
    <w:rsid w:val="00FB73BA"/>
    <w:rsid w:val="00FB766F"/>
    <w:rsid w:val="00FB773B"/>
    <w:rsid w:val="00FB7750"/>
    <w:rsid w:val="00FB78CC"/>
    <w:rsid w:val="00FB7908"/>
    <w:rsid w:val="00FB7AE2"/>
    <w:rsid w:val="00FB7C69"/>
    <w:rsid w:val="00FB7CEB"/>
    <w:rsid w:val="00FB7E99"/>
    <w:rsid w:val="00FB7EF7"/>
    <w:rsid w:val="00FC00CF"/>
    <w:rsid w:val="00FC00DF"/>
    <w:rsid w:val="00FC0175"/>
    <w:rsid w:val="00FC01B3"/>
    <w:rsid w:val="00FC0201"/>
    <w:rsid w:val="00FC03BD"/>
    <w:rsid w:val="00FC04D0"/>
    <w:rsid w:val="00FC07EE"/>
    <w:rsid w:val="00FC0896"/>
    <w:rsid w:val="00FC09DA"/>
    <w:rsid w:val="00FC0A82"/>
    <w:rsid w:val="00FC0BC9"/>
    <w:rsid w:val="00FC0BCC"/>
    <w:rsid w:val="00FC0DF9"/>
    <w:rsid w:val="00FC1067"/>
    <w:rsid w:val="00FC10E5"/>
    <w:rsid w:val="00FC1186"/>
    <w:rsid w:val="00FC1188"/>
    <w:rsid w:val="00FC1321"/>
    <w:rsid w:val="00FC1447"/>
    <w:rsid w:val="00FC1515"/>
    <w:rsid w:val="00FC1537"/>
    <w:rsid w:val="00FC1814"/>
    <w:rsid w:val="00FC1B61"/>
    <w:rsid w:val="00FC1DCC"/>
    <w:rsid w:val="00FC1E6D"/>
    <w:rsid w:val="00FC1EDC"/>
    <w:rsid w:val="00FC20D8"/>
    <w:rsid w:val="00FC20FD"/>
    <w:rsid w:val="00FC23DB"/>
    <w:rsid w:val="00FC24BB"/>
    <w:rsid w:val="00FC29CA"/>
    <w:rsid w:val="00FC2BCA"/>
    <w:rsid w:val="00FC2EB2"/>
    <w:rsid w:val="00FC31AD"/>
    <w:rsid w:val="00FC32E4"/>
    <w:rsid w:val="00FC3304"/>
    <w:rsid w:val="00FC3361"/>
    <w:rsid w:val="00FC350D"/>
    <w:rsid w:val="00FC365C"/>
    <w:rsid w:val="00FC3719"/>
    <w:rsid w:val="00FC37A9"/>
    <w:rsid w:val="00FC37C8"/>
    <w:rsid w:val="00FC386C"/>
    <w:rsid w:val="00FC389B"/>
    <w:rsid w:val="00FC39C7"/>
    <w:rsid w:val="00FC3A34"/>
    <w:rsid w:val="00FC3B2C"/>
    <w:rsid w:val="00FC3D44"/>
    <w:rsid w:val="00FC4082"/>
    <w:rsid w:val="00FC4180"/>
    <w:rsid w:val="00FC41C7"/>
    <w:rsid w:val="00FC41F2"/>
    <w:rsid w:val="00FC422A"/>
    <w:rsid w:val="00FC42B9"/>
    <w:rsid w:val="00FC4573"/>
    <w:rsid w:val="00FC45FB"/>
    <w:rsid w:val="00FC4739"/>
    <w:rsid w:val="00FC479A"/>
    <w:rsid w:val="00FC48FB"/>
    <w:rsid w:val="00FC4A19"/>
    <w:rsid w:val="00FC4BC9"/>
    <w:rsid w:val="00FC4CF8"/>
    <w:rsid w:val="00FC4CFF"/>
    <w:rsid w:val="00FC4D63"/>
    <w:rsid w:val="00FC4D97"/>
    <w:rsid w:val="00FC4E3C"/>
    <w:rsid w:val="00FC506B"/>
    <w:rsid w:val="00FC5254"/>
    <w:rsid w:val="00FC52BB"/>
    <w:rsid w:val="00FC533B"/>
    <w:rsid w:val="00FC5623"/>
    <w:rsid w:val="00FC5663"/>
    <w:rsid w:val="00FC56AE"/>
    <w:rsid w:val="00FC5D0D"/>
    <w:rsid w:val="00FC5E23"/>
    <w:rsid w:val="00FC632E"/>
    <w:rsid w:val="00FC633D"/>
    <w:rsid w:val="00FC651F"/>
    <w:rsid w:val="00FC65CE"/>
    <w:rsid w:val="00FC6708"/>
    <w:rsid w:val="00FC6B34"/>
    <w:rsid w:val="00FC6D47"/>
    <w:rsid w:val="00FC6F34"/>
    <w:rsid w:val="00FC73AC"/>
    <w:rsid w:val="00FC741D"/>
    <w:rsid w:val="00FC7478"/>
    <w:rsid w:val="00FC767F"/>
    <w:rsid w:val="00FC76B0"/>
    <w:rsid w:val="00FC770B"/>
    <w:rsid w:val="00FC7C45"/>
    <w:rsid w:val="00FC7CFE"/>
    <w:rsid w:val="00FC7D13"/>
    <w:rsid w:val="00FD009B"/>
    <w:rsid w:val="00FD025A"/>
    <w:rsid w:val="00FD0345"/>
    <w:rsid w:val="00FD0494"/>
    <w:rsid w:val="00FD05D7"/>
    <w:rsid w:val="00FD060D"/>
    <w:rsid w:val="00FD0666"/>
    <w:rsid w:val="00FD06A7"/>
    <w:rsid w:val="00FD0772"/>
    <w:rsid w:val="00FD086E"/>
    <w:rsid w:val="00FD0B3B"/>
    <w:rsid w:val="00FD0B8B"/>
    <w:rsid w:val="00FD0C4E"/>
    <w:rsid w:val="00FD0CBF"/>
    <w:rsid w:val="00FD0EA0"/>
    <w:rsid w:val="00FD0F0C"/>
    <w:rsid w:val="00FD10D8"/>
    <w:rsid w:val="00FD111C"/>
    <w:rsid w:val="00FD1222"/>
    <w:rsid w:val="00FD15E9"/>
    <w:rsid w:val="00FD15F2"/>
    <w:rsid w:val="00FD1A40"/>
    <w:rsid w:val="00FD1A56"/>
    <w:rsid w:val="00FD21A0"/>
    <w:rsid w:val="00FD21EC"/>
    <w:rsid w:val="00FD242E"/>
    <w:rsid w:val="00FD27CA"/>
    <w:rsid w:val="00FD2836"/>
    <w:rsid w:val="00FD289A"/>
    <w:rsid w:val="00FD297D"/>
    <w:rsid w:val="00FD2AE9"/>
    <w:rsid w:val="00FD2BBC"/>
    <w:rsid w:val="00FD2BC5"/>
    <w:rsid w:val="00FD2C02"/>
    <w:rsid w:val="00FD2E1E"/>
    <w:rsid w:val="00FD3159"/>
    <w:rsid w:val="00FD32DD"/>
    <w:rsid w:val="00FD3523"/>
    <w:rsid w:val="00FD35B6"/>
    <w:rsid w:val="00FD35DE"/>
    <w:rsid w:val="00FD3769"/>
    <w:rsid w:val="00FD3782"/>
    <w:rsid w:val="00FD37D7"/>
    <w:rsid w:val="00FD37E9"/>
    <w:rsid w:val="00FD37F0"/>
    <w:rsid w:val="00FD381E"/>
    <w:rsid w:val="00FD39B1"/>
    <w:rsid w:val="00FD3B6A"/>
    <w:rsid w:val="00FD3CC9"/>
    <w:rsid w:val="00FD3D54"/>
    <w:rsid w:val="00FD3D97"/>
    <w:rsid w:val="00FD3DE2"/>
    <w:rsid w:val="00FD422B"/>
    <w:rsid w:val="00FD4242"/>
    <w:rsid w:val="00FD42CD"/>
    <w:rsid w:val="00FD4412"/>
    <w:rsid w:val="00FD444B"/>
    <w:rsid w:val="00FD44FD"/>
    <w:rsid w:val="00FD4643"/>
    <w:rsid w:val="00FD4697"/>
    <w:rsid w:val="00FD46B7"/>
    <w:rsid w:val="00FD4A2E"/>
    <w:rsid w:val="00FD4A44"/>
    <w:rsid w:val="00FD4A81"/>
    <w:rsid w:val="00FD4B1B"/>
    <w:rsid w:val="00FD4C30"/>
    <w:rsid w:val="00FD4D36"/>
    <w:rsid w:val="00FD4D73"/>
    <w:rsid w:val="00FD4E99"/>
    <w:rsid w:val="00FD4FE3"/>
    <w:rsid w:val="00FD4FF3"/>
    <w:rsid w:val="00FD513C"/>
    <w:rsid w:val="00FD52CD"/>
    <w:rsid w:val="00FD53D5"/>
    <w:rsid w:val="00FD5495"/>
    <w:rsid w:val="00FD562D"/>
    <w:rsid w:val="00FD5684"/>
    <w:rsid w:val="00FD56C1"/>
    <w:rsid w:val="00FD5735"/>
    <w:rsid w:val="00FD57CA"/>
    <w:rsid w:val="00FD5DFA"/>
    <w:rsid w:val="00FD62B6"/>
    <w:rsid w:val="00FD6463"/>
    <w:rsid w:val="00FD6606"/>
    <w:rsid w:val="00FD68C7"/>
    <w:rsid w:val="00FD68EC"/>
    <w:rsid w:val="00FD69C4"/>
    <w:rsid w:val="00FD69FA"/>
    <w:rsid w:val="00FD6A49"/>
    <w:rsid w:val="00FD6A8A"/>
    <w:rsid w:val="00FD6A93"/>
    <w:rsid w:val="00FD6BF3"/>
    <w:rsid w:val="00FD6C5D"/>
    <w:rsid w:val="00FD6D2B"/>
    <w:rsid w:val="00FD6D5B"/>
    <w:rsid w:val="00FD7285"/>
    <w:rsid w:val="00FD72B2"/>
    <w:rsid w:val="00FD72F3"/>
    <w:rsid w:val="00FD7324"/>
    <w:rsid w:val="00FD7378"/>
    <w:rsid w:val="00FD748A"/>
    <w:rsid w:val="00FD7503"/>
    <w:rsid w:val="00FD7649"/>
    <w:rsid w:val="00FD7678"/>
    <w:rsid w:val="00FD775D"/>
    <w:rsid w:val="00FD7B09"/>
    <w:rsid w:val="00FD7D2B"/>
    <w:rsid w:val="00FE025A"/>
    <w:rsid w:val="00FE0417"/>
    <w:rsid w:val="00FE043E"/>
    <w:rsid w:val="00FE0460"/>
    <w:rsid w:val="00FE0605"/>
    <w:rsid w:val="00FE0701"/>
    <w:rsid w:val="00FE07E2"/>
    <w:rsid w:val="00FE0883"/>
    <w:rsid w:val="00FE08D0"/>
    <w:rsid w:val="00FE090C"/>
    <w:rsid w:val="00FE0B07"/>
    <w:rsid w:val="00FE0BDC"/>
    <w:rsid w:val="00FE0F28"/>
    <w:rsid w:val="00FE1022"/>
    <w:rsid w:val="00FE11FC"/>
    <w:rsid w:val="00FE1215"/>
    <w:rsid w:val="00FE1331"/>
    <w:rsid w:val="00FE138E"/>
    <w:rsid w:val="00FE13C8"/>
    <w:rsid w:val="00FE15B4"/>
    <w:rsid w:val="00FE15D0"/>
    <w:rsid w:val="00FE1655"/>
    <w:rsid w:val="00FE16C8"/>
    <w:rsid w:val="00FE1915"/>
    <w:rsid w:val="00FE1A08"/>
    <w:rsid w:val="00FE1A75"/>
    <w:rsid w:val="00FE1AE0"/>
    <w:rsid w:val="00FE1AFC"/>
    <w:rsid w:val="00FE1B2D"/>
    <w:rsid w:val="00FE1BE5"/>
    <w:rsid w:val="00FE1E00"/>
    <w:rsid w:val="00FE1E14"/>
    <w:rsid w:val="00FE1F09"/>
    <w:rsid w:val="00FE1F12"/>
    <w:rsid w:val="00FE1F20"/>
    <w:rsid w:val="00FE2088"/>
    <w:rsid w:val="00FE20AB"/>
    <w:rsid w:val="00FE22B4"/>
    <w:rsid w:val="00FE22D6"/>
    <w:rsid w:val="00FE2572"/>
    <w:rsid w:val="00FE25A4"/>
    <w:rsid w:val="00FE2837"/>
    <w:rsid w:val="00FE29D0"/>
    <w:rsid w:val="00FE2A56"/>
    <w:rsid w:val="00FE2C54"/>
    <w:rsid w:val="00FE2EB6"/>
    <w:rsid w:val="00FE2EF5"/>
    <w:rsid w:val="00FE2F87"/>
    <w:rsid w:val="00FE3020"/>
    <w:rsid w:val="00FE3139"/>
    <w:rsid w:val="00FE33E9"/>
    <w:rsid w:val="00FE3720"/>
    <w:rsid w:val="00FE3870"/>
    <w:rsid w:val="00FE3A72"/>
    <w:rsid w:val="00FE3DB8"/>
    <w:rsid w:val="00FE3EA5"/>
    <w:rsid w:val="00FE3FCD"/>
    <w:rsid w:val="00FE405E"/>
    <w:rsid w:val="00FE4075"/>
    <w:rsid w:val="00FE40AD"/>
    <w:rsid w:val="00FE4182"/>
    <w:rsid w:val="00FE41BC"/>
    <w:rsid w:val="00FE486D"/>
    <w:rsid w:val="00FE4884"/>
    <w:rsid w:val="00FE48F9"/>
    <w:rsid w:val="00FE494F"/>
    <w:rsid w:val="00FE4BB9"/>
    <w:rsid w:val="00FE4C0F"/>
    <w:rsid w:val="00FE4EA2"/>
    <w:rsid w:val="00FE5753"/>
    <w:rsid w:val="00FE5917"/>
    <w:rsid w:val="00FE5996"/>
    <w:rsid w:val="00FE5B27"/>
    <w:rsid w:val="00FE5CE1"/>
    <w:rsid w:val="00FE6144"/>
    <w:rsid w:val="00FE6388"/>
    <w:rsid w:val="00FE655F"/>
    <w:rsid w:val="00FE6565"/>
    <w:rsid w:val="00FE656C"/>
    <w:rsid w:val="00FE6677"/>
    <w:rsid w:val="00FE6829"/>
    <w:rsid w:val="00FE6A91"/>
    <w:rsid w:val="00FE6ACA"/>
    <w:rsid w:val="00FE6B25"/>
    <w:rsid w:val="00FE6E82"/>
    <w:rsid w:val="00FE7426"/>
    <w:rsid w:val="00FE750E"/>
    <w:rsid w:val="00FE756B"/>
    <w:rsid w:val="00FE7895"/>
    <w:rsid w:val="00FE7971"/>
    <w:rsid w:val="00FE7C5E"/>
    <w:rsid w:val="00FF015D"/>
    <w:rsid w:val="00FF0431"/>
    <w:rsid w:val="00FF09B7"/>
    <w:rsid w:val="00FF0B62"/>
    <w:rsid w:val="00FF0C57"/>
    <w:rsid w:val="00FF0D4D"/>
    <w:rsid w:val="00FF0EF5"/>
    <w:rsid w:val="00FF0F05"/>
    <w:rsid w:val="00FF0F89"/>
    <w:rsid w:val="00FF1545"/>
    <w:rsid w:val="00FF1701"/>
    <w:rsid w:val="00FF1772"/>
    <w:rsid w:val="00FF183B"/>
    <w:rsid w:val="00FF1A81"/>
    <w:rsid w:val="00FF1F67"/>
    <w:rsid w:val="00FF2069"/>
    <w:rsid w:val="00FF215D"/>
    <w:rsid w:val="00FF2189"/>
    <w:rsid w:val="00FF232B"/>
    <w:rsid w:val="00FF23B4"/>
    <w:rsid w:val="00FF261A"/>
    <w:rsid w:val="00FF264A"/>
    <w:rsid w:val="00FF26E2"/>
    <w:rsid w:val="00FF2892"/>
    <w:rsid w:val="00FF28C2"/>
    <w:rsid w:val="00FF2992"/>
    <w:rsid w:val="00FF2ABE"/>
    <w:rsid w:val="00FF3006"/>
    <w:rsid w:val="00FF305F"/>
    <w:rsid w:val="00FF30B2"/>
    <w:rsid w:val="00FF3145"/>
    <w:rsid w:val="00FF359A"/>
    <w:rsid w:val="00FF36DC"/>
    <w:rsid w:val="00FF36F8"/>
    <w:rsid w:val="00FF37F5"/>
    <w:rsid w:val="00FF38A2"/>
    <w:rsid w:val="00FF393A"/>
    <w:rsid w:val="00FF396B"/>
    <w:rsid w:val="00FF3995"/>
    <w:rsid w:val="00FF3A09"/>
    <w:rsid w:val="00FF3A31"/>
    <w:rsid w:val="00FF3AF1"/>
    <w:rsid w:val="00FF3B19"/>
    <w:rsid w:val="00FF3C7B"/>
    <w:rsid w:val="00FF411C"/>
    <w:rsid w:val="00FF413D"/>
    <w:rsid w:val="00FF43A9"/>
    <w:rsid w:val="00FF4626"/>
    <w:rsid w:val="00FF468B"/>
    <w:rsid w:val="00FF4758"/>
    <w:rsid w:val="00FF4770"/>
    <w:rsid w:val="00FF498B"/>
    <w:rsid w:val="00FF4BA2"/>
    <w:rsid w:val="00FF4D79"/>
    <w:rsid w:val="00FF4F0A"/>
    <w:rsid w:val="00FF4FCC"/>
    <w:rsid w:val="00FF5507"/>
    <w:rsid w:val="00FF551C"/>
    <w:rsid w:val="00FF554B"/>
    <w:rsid w:val="00FF56C0"/>
    <w:rsid w:val="00FF58C9"/>
    <w:rsid w:val="00FF5C05"/>
    <w:rsid w:val="00FF5D61"/>
    <w:rsid w:val="00FF6063"/>
    <w:rsid w:val="00FF6165"/>
    <w:rsid w:val="00FF617D"/>
    <w:rsid w:val="00FF61BA"/>
    <w:rsid w:val="00FF62E2"/>
    <w:rsid w:val="00FF645D"/>
    <w:rsid w:val="00FF65B5"/>
    <w:rsid w:val="00FF6659"/>
    <w:rsid w:val="00FF66C6"/>
    <w:rsid w:val="00FF66F3"/>
    <w:rsid w:val="00FF6763"/>
    <w:rsid w:val="00FF67D9"/>
    <w:rsid w:val="00FF6AD4"/>
    <w:rsid w:val="00FF6B4D"/>
    <w:rsid w:val="00FF6C61"/>
    <w:rsid w:val="00FF6CCF"/>
    <w:rsid w:val="00FF6E20"/>
    <w:rsid w:val="00FF6E47"/>
    <w:rsid w:val="00FF6EC4"/>
    <w:rsid w:val="00FF6F68"/>
    <w:rsid w:val="00FF713B"/>
    <w:rsid w:val="00FF72D6"/>
    <w:rsid w:val="00FF72D9"/>
    <w:rsid w:val="00FF73BA"/>
    <w:rsid w:val="00FF7606"/>
    <w:rsid w:val="00FF768C"/>
    <w:rsid w:val="00FF7A32"/>
    <w:rsid w:val="00FF7A79"/>
    <w:rsid w:val="00FF7C4E"/>
    <w:rsid w:val="00FF7CA7"/>
    <w:rsid w:val="00FF7D19"/>
    <w:rsid w:val="00FF7D7B"/>
    <w:rsid w:val="00FF7EA6"/>
    <w:rsid w:val="0106654C"/>
    <w:rsid w:val="011EDF61"/>
    <w:rsid w:val="0122E2F7"/>
    <w:rsid w:val="0130ECFB"/>
    <w:rsid w:val="0132385F"/>
    <w:rsid w:val="0133FC55"/>
    <w:rsid w:val="0136B6EC"/>
    <w:rsid w:val="015041D5"/>
    <w:rsid w:val="016EF222"/>
    <w:rsid w:val="01785652"/>
    <w:rsid w:val="0179F501"/>
    <w:rsid w:val="017C50E6"/>
    <w:rsid w:val="0194D41D"/>
    <w:rsid w:val="0195A4C8"/>
    <w:rsid w:val="01960FD6"/>
    <w:rsid w:val="019F3454"/>
    <w:rsid w:val="01ADD6E2"/>
    <w:rsid w:val="01B3E078"/>
    <w:rsid w:val="01B590B5"/>
    <w:rsid w:val="01B91CE6"/>
    <w:rsid w:val="01DB71CE"/>
    <w:rsid w:val="01DFDBBE"/>
    <w:rsid w:val="01E32CC9"/>
    <w:rsid w:val="021E9304"/>
    <w:rsid w:val="02261929"/>
    <w:rsid w:val="023B21FA"/>
    <w:rsid w:val="02487DC1"/>
    <w:rsid w:val="025D938A"/>
    <w:rsid w:val="02665BCB"/>
    <w:rsid w:val="026AF0E1"/>
    <w:rsid w:val="0270BFEA"/>
    <w:rsid w:val="0275AE14"/>
    <w:rsid w:val="027D2C35"/>
    <w:rsid w:val="0284FFC1"/>
    <w:rsid w:val="0292549B"/>
    <w:rsid w:val="0294A82B"/>
    <w:rsid w:val="02A63CB0"/>
    <w:rsid w:val="02ABEE52"/>
    <w:rsid w:val="02AC3515"/>
    <w:rsid w:val="02B0785E"/>
    <w:rsid w:val="02B61073"/>
    <w:rsid w:val="02BE820E"/>
    <w:rsid w:val="02BFF92C"/>
    <w:rsid w:val="02D2D38E"/>
    <w:rsid w:val="02E13602"/>
    <w:rsid w:val="02EDDDE4"/>
    <w:rsid w:val="02EE81AF"/>
    <w:rsid w:val="02F1FD92"/>
    <w:rsid w:val="02F5F111"/>
    <w:rsid w:val="030577FC"/>
    <w:rsid w:val="03266048"/>
    <w:rsid w:val="03494936"/>
    <w:rsid w:val="03553428"/>
    <w:rsid w:val="035F090E"/>
    <w:rsid w:val="037204E7"/>
    <w:rsid w:val="037A4655"/>
    <w:rsid w:val="038432C1"/>
    <w:rsid w:val="039E5916"/>
    <w:rsid w:val="03A69BFF"/>
    <w:rsid w:val="03B039C3"/>
    <w:rsid w:val="03BDB527"/>
    <w:rsid w:val="03C3C73D"/>
    <w:rsid w:val="03C65AFB"/>
    <w:rsid w:val="03CDF7C0"/>
    <w:rsid w:val="03CE6A3B"/>
    <w:rsid w:val="03CF4161"/>
    <w:rsid w:val="03CFE74B"/>
    <w:rsid w:val="03E5CC13"/>
    <w:rsid w:val="03FCFACB"/>
    <w:rsid w:val="0401D302"/>
    <w:rsid w:val="04101D56"/>
    <w:rsid w:val="0414D990"/>
    <w:rsid w:val="0415D2B7"/>
    <w:rsid w:val="041AB63D"/>
    <w:rsid w:val="04297961"/>
    <w:rsid w:val="0429A2A1"/>
    <w:rsid w:val="04385D16"/>
    <w:rsid w:val="04523FC5"/>
    <w:rsid w:val="045464E3"/>
    <w:rsid w:val="0462C209"/>
    <w:rsid w:val="046476FF"/>
    <w:rsid w:val="04763AA5"/>
    <w:rsid w:val="048024CC"/>
    <w:rsid w:val="04827079"/>
    <w:rsid w:val="0483092A"/>
    <w:rsid w:val="048E3ACA"/>
    <w:rsid w:val="04A8CC08"/>
    <w:rsid w:val="04AD65E3"/>
    <w:rsid w:val="04B2B81D"/>
    <w:rsid w:val="04B4556A"/>
    <w:rsid w:val="04C20131"/>
    <w:rsid w:val="04C78FDC"/>
    <w:rsid w:val="04CE0F77"/>
    <w:rsid w:val="04D13E3B"/>
    <w:rsid w:val="04D307A5"/>
    <w:rsid w:val="04D42F94"/>
    <w:rsid w:val="04E6B845"/>
    <w:rsid w:val="04FF35F8"/>
    <w:rsid w:val="0502756C"/>
    <w:rsid w:val="050E18E9"/>
    <w:rsid w:val="05138991"/>
    <w:rsid w:val="05147B55"/>
    <w:rsid w:val="0527AAC3"/>
    <w:rsid w:val="0537751D"/>
    <w:rsid w:val="054D3B29"/>
    <w:rsid w:val="054EC16E"/>
    <w:rsid w:val="054F89F8"/>
    <w:rsid w:val="05566098"/>
    <w:rsid w:val="05655857"/>
    <w:rsid w:val="0566D1DE"/>
    <w:rsid w:val="0567AA5D"/>
    <w:rsid w:val="05680DB5"/>
    <w:rsid w:val="058957DB"/>
    <w:rsid w:val="058A022F"/>
    <w:rsid w:val="05928476"/>
    <w:rsid w:val="0596076F"/>
    <w:rsid w:val="059AE4B6"/>
    <w:rsid w:val="05AB37C1"/>
    <w:rsid w:val="05B3019D"/>
    <w:rsid w:val="05B3D856"/>
    <w:rsid w:val="05C0A350"/>
    <w:rsid w:val="05CEFB14"/>
    <w:rsid w:val="05D4196D"/>
    <w:rsid w:val="05E0AC44"/>
    <w:rsid w:val="05E6BF04"/>
    <w:rsid w:val="05E74FD2"/>
    <w:rsid w:val="05EF738E"/>
    <w:rsid w:val="06058414"/>
    <w:rsid w:val="06135EA4"/>
    <w:rsid w:val="0613FB14"/>
    <w:rsid w:val="06189F33"/>
    <w:rsid w:val="06252CA8"/>
    <w:rsid w:val="06260454"/>
    <w:rsid w:val="062B5C57"/>
    <w:rsid w:val="064539D9"/>
    <w:rsid w:val="06689AE8"/>
    <w:rsid w:val="06709DCF"/>
    <w:rsid w:val="06746D9A"/>
    <w:rsid w:val="067BA6C3"/>
    <w:rsid w:val="0682BECC"/>
    <w:rsid w:val="068B804B"/>
    <w:rsid w:val="06B1EB7A"/>
    <w:rsid w:val="06CCEAF3"/>
    <w:rsid w:val="070CFA87"/>
    <w:rsid w:val="071763EF"/>
    <w:rsid w:val="07267A95"/>
    <w:rsid w:val="072ABCCD"/>
    <w:rsid w:val="0743F2C9"/>
    <w:rsid w:val="078FB1FA"/>
    <w:rsid w:val="0792345B"/>
    <w:rsid w:val="07935EEB"/>
    <w:rsid w:val="0793A056"/>
    <w:rsid w:val="07AEFCA0"/>
    <w:rsid w:val="07BAB014"/>
    <w:rsid w:val="07BF4C12"/>
    <w:rsid w:val="07BF5FF5"/>
    <w:rsid w:val="07C56852"/>
    <w:rsid w:val="07CCC9F4"/>
    <w:rsid w:val="07D2645B"/>
    <w:rsid w:val="07EC7187"/>
    <w:rsid w:val="07F2E17F"/>
    <w:rsid w:val="07FD9C01"/>
    <w:rsid w:val="080782AF"/>
    <w:rsid w:val="082172E4"/>
    <w:rsid w:val="083FFE53"/>
    <w:rsid w:val="0848B25E"/>
    <w:rsid w:val="084F94C2"/>
    <w:rsid w:val="085DFE9F"/>
    <w:rsid w:val="085F8933"/>
    <w:rsid w:val="08672774"/>
    <w:rsid w:val="086AC388"/>
    <w:rsid w:val="086B2F30"/>
    <w:rsid w:val="087AB3C9"/>
    <w:rsid w:val="08A6846E"/>
    <w:rsid w:val="08B91718"/>
    <w:rsid w:val="08BD9B4F"/>
    <w:rsid w:val="08BE9F6A"/>
    <w:rsid w:val="08C32D26"/>
    <w:rsid w:val="08D370EC"/>
    <w:rsid w:val="091584C1"/>
    <w:rsid w:val="091AEAFC"/>
    <w:rsid w:val="0921CFC1"/>
    <w:rsid w:val="092AB154"/>
    <w:rsid w:val="092E5853"/>
    <w:rsid w:val="092F2C6A"/>
    <w:rsid w:val="093149C1"/>
    <w:rsid w:val="09361F25"/>
    <w:rsid w:val="0943DBAB"/>
    <w:rsid w:val="095B0048"/>
    <w:rsid w:val="09634140"/>
    <w:rsid w:val="0966A2D5"/>
    <w:rsid w:val="0985AFC7"/>
    <w:rsid w:val="09878C06"/>
    <w:rsid w:val="098E2DF3"/>
    <w:rsid w:val="09A24AE3"/>
    <w:rsid w:val="09A47F65"/>
    <w:rsid w:val="09AE508F"/>
    <w:rsid w:val="09BABC7D"/>
    <w:rsid w:val="09CA9668"/>
    <w:rsid w:val="09D87FA3"/>
    <w:rsid w:val="09E7A098"/>
    <w:rsid w:val="09F8B216"/>
    <w:rsid w:val="09F8EF7F"/>
    <w:rsid w:val="0A107E7E"/>
    <w:rsid w:val="0A139049"/>
    <w:rsid w:val="0A232213"/>
    <w:rsid w:val="0A232FAB"/>
    <w:rsid w:val="0A25B427"/>
    <w:rsid w:val="0A29B2D8"/>
    <w:rsid w:val="0A385989"/>
    <w:rsid w:val="0A4944B6"/>
    <w:rsid w:val="0A806C28"/>
    <w:rsid w:val="0AB860A2"/>
    <w:rsid w:val="0AE093CC"/>
    <w:rsid w:val="0AEBA588"/>
    <w:rsid w:val="0AFA981F"/>
    <w:rsid w:val="0B018A87"/>
    <w:rsid w:val="0B2023D9"/>
    <w:rsid w:val="0B2DB62B"/>
    <w:rsid w:val="0B5441BE"/>
    <w:rsid w:val="0B5607D1"/>
    <w:rsid w:val="0B646509"/>
    <w:rsid w:val="0B7224B3"/>
    <w:rsid w:val="0B76A7E3"/>
    <w:rsid w:val="0B7D100E"/>
    <w:rsid w:val="0B87C440"/>
    <w:rsid w:val="0B8A6544"/>
    <w:rsid w:val="0B98A1AB"/>
    <w:rsid w:val="0B9E6B99"/>
    <w:rsid w:val="0BA56F19"/>
    <w:rsid w:val="0BB35AFA"/>
    <w:rsid w:val="0BB68CC0"/>
    <w:rsid w:val="0BB74557"/>
    <w:rsid w:val="0BCF5076"/>
    <w:rsid w:val="0BD6D5E3"/>
    <w:rsid w:val="0BDAD4EE"/>
    <w:rsid w:val="0BDC9140"/>
    <w:rsid w:val="0BDF4285"/>
    <w:rsid w:val="0BDF7741"/>
    <w:rsid w:val="0BECE44B"/>
    <w:rsid w:val="0C01C5B1"/>
    <w:rsid w:val="0C06D01A"/>
    <w:rsid w:val="0C0A8338"/>
    <w:rsid w:val="0C0F6A57"/>
    <w:rsid w:val="0C146789"/>
    <w:rsid w:val="0C1EA541"/>
    <w:rsid w:val="0C2E670C"/>
    <w:rsid w:val="0C2E7172"/>
    <w:rsid w:val="0C301730"/>
    <w:rsid w:val="0C3B0C17"/>
    <w:rsid w:val="0C4B7507"/>
    <w:rsid w:val="0C8C18BE"/>
    <w:rsid w:val="0C9D9B54"/>
    <w:rsid w:val="0C9E9434"/>
    <w:rsid w:val="0C9FD5D6"/>
    <w:rsid w:val="0CB4BC06"/>
    <w:rsid w:val="0CD413E8"/>
    <w:rsid w:val="0CD7AC80"/>
    <w:rsid w:val="0CE1E990"/>
    <w:rsid w:val="0D059BAB"/>
    <w:rsid w:val="0D061106"/>
    <w:rsid w:val="0D069C16"/>
    <w:rsid w:val="0D07B585"/>
    <w:rsid w:val="0D07EF12"/>
    <w:rsid w:val="0D141D14"/>
    <w:rsid w:val="0D1C7108"/>
    <w:rsid w:val="0D1C9507"/>
    <w:rsid w:val="0D2D914C"/>
    <w:rsid w:val="0D3CE385"/>
    <w:rsid w:val="0D6BFC76"/>
    <w:rsid w:val="0D6EC43F"/>
    <w:rsid w:val="0D726467"/>
    <w:rsid w:val="0D7CB77C"/>
    <w:rsid w:val="0D96258D"/>
    <w:rsid w:val="0D9EAB70"/>
    <w:rsid w:val="0DA641C9"/>
    <w:rsid w:val="0DAB8AEB"/>
    <w:rsid w:val="0DAEC5F8"/>
    <w:rsid w:val="0DB633D8"/>
    <w:rsid w:val="0DBD6F41"/>
    <w:rsid w:val="0DBF39C6"/>
    <w:rsid w:val="0DCDCC69"/>
    <w:rsid w:val="0DE57F7A"/>
    <w:rsid w:val="0DE61020"/>
    <w:rsid w:val="0DEF4564"/>
    <w:rsid w:val="0DF33F15"/>
    <w:rsid w:val="0DF637AA"/>
    <w:rsid w:val="0DF9C557"/>
    <w:rsid w:val="0E23EF2D"/>
    <w:rsid w:val="0E31D83E"/>
    <w:rsid w:val="0E3AB44E"/>
    <w:rsid w:val="0E619602"/>
    <w:rsid w:val="0E6388A7"/>
    <w:rsid w:val="0E788344"/>
    <w:rsid w:val="0E87508E"/>
    <w:rsid w:val="0E876E3E"/>
    <w:rsid w:val="0EA4FFF7"/>
    <w:rsid w:val="0EAD4037"/>
    <w:rsid w:val="0EB0DA9D"/>
    <w:rsid w:val="0EB259D2"/>
    <w:rsid w:val="0EC00169"/>
    <w:rsid w:val="0EC04EC5"/>
    <w:rsid w:val="0ECD7767"/>
    <w:rsid w:val="0EE301DC"/>
    <w:rsid w:val="0F0048B2"/>
    <w:rsid w:val="0F02E0B6"/>
    <w:rsid w:val="0F02FB0A"/>
    <w:rsid w:val="0F0FA711"/>
    <w:rsid w:val="0F1A571E"/>
    <w:rsid w:val="0F2156EC"/>
    <w:rsid w:val="0F277C6E"/>
    <w:rsid w:val="0F2A7C57"/>
    <w:rsid w:val="0F3F18C8"/>
    <w:rsid w:val="0F4042B9"/>
    <w:rsid w:val="0F6EAEC5"/>
    <w:rsid w:val="0F714B8A"/>
    <w:rsid w:val="0F74B9AD"/>
    <w:rsid w:val="0F87BA63"/>
    <w:rsid w:val="0F898908"/>
    <w:rsid w:val="0FA194AD"/>
    <w:rsid w:val="0FA247D0"/>
    <w:rsid w:val="0FA4F0E1"/>
    <w:rsid w:val="0FA77B80"/>
    <w:rsid w:val="0FB452E5"/>
    <w:rsid w:val="0FC3769D"/>
    <w:rsid w:val="0FC84522"/>
    <w:rsid w:val="0FD8F9B0"/>
    <w:rsid w:val="0FE2B87D"/>
    <w:rsid w:val="0FE51089"/>
    <w:rsid w:val="0FFF119D"/>
    <w:rsid w:val="1032DDBD"/>
    <w:rsid w:val="10448419"/>
    <w:rsid w:val="10458A9F"/>
    <w:rsid w:val="1045DA16"/>
    <w:rsid w:val="10485240"/>
    <w:rsid w:val="104A344E"/>
    <w:rsid w:val="1061F1BF"/>
    <w:rsid w:val="1066746F"/>
    <w:rsid w:val="1075E04F"/>
    <w:rsid w:val="107F48B2"/>
    <w:rsid w:val="10837838"/>
    <w:rsid w:val="108B91BD"/>
    <w:rsid w:val="109405F2"/>
    <w:rsid w:val="1096443B"/>
    <w:rsid w:val="10A99210"/>
    <w:rsid w:val="10B9C24E"/>
    <w:rsid w:val="10C31FA9"/>
    <w:rsid w:val="10CB805E"/>
    <w:rsid w:val="10E078A5"/>
    <w:rsid w:val="10F792C6"/>
    <w:rsid w:val="1116F48A"/>
    <w:rsid w:val="1125B6F6"/>
    <w:rsid w:val="112C8DFC"/>
    <w:rsid w:val="112E81D7"/>
    <w:rsid w:val="112FC358"/>
    <w:rsid w:val="11486DEC"/>
    <w:rsid w:val="1178126F"/>
    <w:rsid w:val="1183C33E"/>
    <w:rsid w:val="118B5E9C"/>
    <w:rsid w:val="11A912D4"/>
    <w:rsid w:val="11C09F07"/>
    <w:rsid w:val="11C38818"/>
    <w:rsid w:val="11E67FA0"/>
    <w:rsid w:val="11FB79CA"/>
    <w:rsid w:val="120709EA"/>
    <w:rsid w:val="120F7BFE"/>
    <w:rsid w:val="1213D257"/>
    <w:rsid w:val="1220E867"/>
    <w:rsid w:val="122C135C"/>
    <w:rsid w:val="122D710C"/>
    <w:rsid w:val="125E8B63"/>
    <w:rsid w:val="125EDCF0"/>
    <w:rsid w:val="1263869C"/>
    <w:rsid w:val="1265D17E"/>
    <w:rsid w:val="1267471D"/>
    <w:rsid w:val="126A0D3B"/>
    <w:rsid w:val="126AC443"/>
    <w:rsid w:val="12777A71"/>
    <w:rsid w:val="1279CC22"/>
    <w:rsid w:val="127F75BC"/>
    <w:rsid w:val="1292A9AB"/>
    <w:rsid w:val="129AFC34"/>
    <w:rsid w:val="12A0F068"/>
    <w:rsid w:val="12A3F09C"/>
    <w:rsid w:val="12A6B6D2"/>
    <w:rsid w:val="12BFE70D"/>
    <w:rsid w:val="12C91DAC"/>
    <w:rsid w:val="12CBDADE"/>
    <w:rsid w:val="12DAD4ED"/>
    <w:rsid w:val="12DC9924"/>
    <w:rsid w:val="12DF5F3F"/>
    <w:rsid w:val="1300E9FA"/>
    <w:rsid w:val="13096B0E"/>
    <w:rsid w:val="130E4015"/>
    <w:rsid w:val="131367CC"/>
    <w:rsid w:val="1317C794"/>
    <w:rsid w:val="131AD3AE"/>
    <w:rsid w:val="131BAC2F"/>
    <w:rsid w:val="13220FA2"/>
    <w:rsid w:val="1326722F"/>
    <w:rsid w:val="133ABF71"/>
    <w:rsid w:val="133DE739"/>
    <w:rsid w:val="134520E4"/>
    <w:rsid w:val="134BF347"/>
    <w:rsid w:val="13528310"/>
    <w:rsid w:val="13593C6A"/>
    <w:rsid w:val="135D1623"/>
    <w:rsid w:val="1364FBFE"/>
    <w:rsid w:val="137C292B"/>
    <w:rsid w:val="138CF528"/>
    <w:rsid w:val="139BA161"/>
    <w:rsid w:val="139EB29E"/>
    <w:rsid w:val="13A573AD"/>
    <w:rsid w:val="13C3BC70"/>
    <w:rsid w:val="13CC828A"/>
    <w:rsid w:val="13D7882D"/>
    <w:rsid w:val="13E71B5B"/>
    <w:rsid w:val="13E97DE0"/>
    <w:rsid w:val="13F41B7A"/>
    <w:rsid w:val="1402B19B"/>
    <w:rsid w:val="1406BB44"/>
    <w:rsid w:val="1412907F"/>
    <w:rsid w:val="14201BEA"/>
    <w:rsid w:val="1428ACD3"/>
    <w:rsid w:val="144682A0"/>
    <w:rsid w:val="145000F8"/>
    <w:rsid w:val="14557750"/>
    <w:rsid w:val="14595769"/>
    <w:rsid w:val="145A87AD"/>
    <w:rsid w:val="14610941"/>
    <w:rsid w:val="14724498"/>
    <w:rsid w:val="14827B39"/>
    <w:rsid w:val="1482AA0F"/>
    <w:rsid w:val="1482E665"/>
    <w:rsid w:val="1487804E"/>
    <w:rsid w:val="148B22DB"/>
    <w:rsid w:val="148F6F9E"/>
    <w:rsid w:val="14919C27"/>
    <w:rsid w:val="149BFA56"/>
    <w:rsid w:val="14A15031"/>
    <w:rsid w:val="14ABD467"/>
    <w:rsid w:val="14BB96D1"/>
    <w:rsid w:val="14D94C55"/>
    <w:rsid w:val="151721E9"/>
    <w:rsid w:val="1540F71D"/>
    <w:rsid w:val="1557DF60"/>
    <w:rsid w:val="155C9D22"/>
    <w:rsid w:val="155F605F"/>
    <w:rsid w:val="156590BD"/>
    <w:rsid w:val="1566DC56"/>
    <w:rsid w:val="156AB0CB"/>
    <w:rsid w:val="156CC761"/>
    <w:rsid w:val="157109BF"/>
    <w:rsid w:val="1571BC1E"/>
    <w:rsid w:val="157F1D68"/>
    <w:rsid w:val="158254E5"/>
    <w:rsid w:val="158AE9B5"/>
    <w:rsid w:val="15B6CCF9"/>
    <w:rsid w:val="15CB01D8"/>
    <w:rsid w:val="15CBCA93"/>
    <w:rsid w:val="15D5D0ED"/>
    <w:rsid w:val="15E5C0B7"/>
    <w:rsid w:val="160AEFCD"/>
    <w:rsid w:val="16112AA2"/>
    <w:rsid w:val="16173D81"/>
    <w:rsid w:val="16199324"/>
    <w:rsid w:val="1623E1AE"/>
    <w:rsid w:val="162B6E7F"/>
    <w:rsid w:val="167EC1AF"/>
    <w:rsid w:val="169A6024"/>
    <w:rsid w:val="169F4644"/>
    <w:rsid w:val="16A8EAB1"/>
    <w:rsid w:val="16BA0057"/>
    <w:rsid w:val="16DA2E50"/>
    <w:rsid w:val="16E1140B"/>
    <w:rsid w:val="16EB2C17"/>
    <w:rsid w:val="16EBF5EB"/>
    <w:rsid w:val="16F0BDBF"/>
    <w:rsid w:val="170E6BF8"/>
    <w:rsid w:val="1725AD2A"/>
    <w:rsid w:val="172A9DF8"/>
    <w:rsid w:val="174269BB"/>
    <w:rsid w:val="1742AB78"/>
    <w:rsid w:val="175128DE"/>
    <w:rsid w:val="1751EBF6"/>
    <w:rsid w:val="17537829"/>
    <w:rsid w:val="17594C9C"/>
    <w:rsid w:val="1773A887"/>
    <w:rsid w:val="177BC045"/>
    <w:rsid w:val="1780D71E"/>
    <w:rsid w:val="17859EF1"/>
    <w:rsid w:val="17879384"/>
    <w:rsid w:val="17948938"/>
    <w:rsid w:val="17962B95"/>
    <w:rsid w:val="17A05C73"/>
    <w:rsid w:val="17AAF620"/>
    <w:rsid w:val="17D06EA8"/>
    <w:rsid w:val="17E2C688"/>
    <w:rsid w:val="17E5253E"/>
    <w:rsid w:val="17F224C3"/>
    <w:rsid w:val="18165761"/>
    <w:rsid w:val="18296444"/>
    <w:rsid w:val="1829B954"/>
    <w:rsid w:val="183229DE"/>
    <w:rsid w:val="18328E4A"/>
    <w:rsid w:val="183394E9"/>
    <w:rsid w:val="18341504"/>
    <w:rsid w:val="183CAFC4"/>
    <w:rsid w:val="18461050"/>
    <w:rsid w:val="185A7595"/>
    <w:rsid w:val="185D7D54"/>
    <w:rsid w:val="186748B9"/>
    <w:rsid w:val="187F20EA"/>
    <w:rsid w:val="18993D3D"/>
    <w:rsid w:val="18A66608"/>
    <w:rsid w:val="18B90B53"/>
    <w:rsid w:val="18BB0537"/>
    <w:rsid w:val="18C450E9"/>
    <w:rsid w:val="18DD9DE0"/>
    <w:rsid w:val="18DF6B2C"/>
    <w:rsid w:val="18F39E1E"/>
    <w:rsid w:val="18FC1100"/>
    <w:rsid w:val="19016DD5"/>
    <w:rsid w:val="1902201B"/>
    <w:rsid w:val="19091087"/>
    <w:rsid w:val="1915F2B5"/>
    <w:rsid w:val="194D0FCD"/>
    <w:rsid w:val="1961BD68"/>
    <w:rsid w:val="196E6052"/>
    <w:rsid w:val="19721659"/>
    <w:rsid w:val="197B987B"/>
    <w:rsid w:val="1980BF1C"/>
    <w:rsid w:val="198DC52F"/>
    <w:rsid w:val="1997DF48"/>
    <w:rsid w:val="19B43B71"/>
    <w:rsid w:val="19BF718C"/>
    <w:rsid w:val="19CCEA7D"/>
    <w:rsid w:val="19D51155"/>
    <w:rsid w:val="19DCEFF6"/>
    <w:rsid w:val="19DD6811"/>
    <w:rsid w:val="19E3084D"/>
    <w:rsid w:val="19ECD683"/>
    <w:rsid w:val="19F0044A"/>
    <w:rsid w:val="1A03DA6A"/>
    <w:rsid w:val="1A08AD15"/>
    <w:rsid w:val="1A179847"/>
    <w:rsid w:val="1A313D35"/>
    <w:rsid w:val="1A31BAF0"/>
    <w:rsid w:val="1A512DC5"/>
    <w:rsid w:val="1A56488C"/>
    <w:rsid w:val="1A58303F"/>
    <w:rsid w:val="1A59FBC2"/>
    <w:rsid w:val="1A5BBC70"/>
    <w:rsid w:val="1A617891"/>
    <w:rsid w:val="1A7B8002"/>
    <w:rsid w:val="1A852BE9"/>
    <w:rsid w:val="1A8A916A"/>
    <w:rsid w:val="1A8E99D3"/>
    <w:rsid w:val="1A9B4BFB"/>
    <w:rsid w:val="1AA805AA"/>
    <w:rsid w:val="1AC174F6"/>
    <w:rsid w:val="1AE0E04F"/>
    <w:rsid w:val="1B0527C6"/>
    <w:rsid w:val="1B17066B"/>
    <w:rsid w:val="1B3E9913"/>
    <w:rsid w:val="1B494344"/>
    <w:rsid w:val="1B602245"/>
    <w:rsid w:val="1B704F69"/>
    <w:rsid w:val="1B76A3C8"/>
    <w:rsid w:val="1B82ED80"/>
    <w:rsid w:val="1B88634B"/>
    <w:rsid w:val="1B8901DD"/>
    <w:rsid w:val="1B9BB0DA"/>
    <w:rsid w:val="1BC489BE"/>
    <w:rsid w:val="1BC5A85F"/>
    <w:rsid w:val="1BC5CD11"/>
    <w:rsid w:val="1BDCDFEE"/>
    <w:rsid w:val="1BFCA016"/>
    <w:rsid w:val="1C0385DD"/>
    <w:rsid w:val="1C05B3BD"/>
    <w:rsid w:val="1C0D9A9A"/>
    <w:rsid w:val="1C17847D"/>
    <w:rsid w:val="1C2C999F"/>
    <w:rsid w:val="1C2CD72B"/>
    <w:rsid w:val="1C31DD69"/>
    <w:rsid w:val="1C48D5E7"/>
    <w:rsid w:val="1C4EAF66"/>
    <w:rsid w:val="1C61E118"/>
    <w:rsid w:val="1C6CC6F2"/>
    <w:rsid w:val="1C6E2B75"/>
    <w:rsid w:val="1C802F46"/>
    <w:rsid w:val="1C86C318"/>
    <w:rsid w:val="1C87BB0F"/>
    <w:rsid w:val="1C8CD0B7"/>
    <w:rsid w:val="1C9DCAFC"/>
    <w:rsid w:val="1CABC10F"/>
    <w:rsid w:val="1CAEAEC3"/>
    <w:rsid w:val="1CB0044F"/>
    <w:rsid w:val="1CB624DC"/>
    <w:rsid w:val="1CBCB732"/>
    <w:rsid w:val="1CBDB36B"/>
    <w:rsid w:val="1CDDD096"/>
    <w:rsid w:val="1CF7EE3B"/>
    <w:rsid w:val="1CF9E95A"/>
    <w:rsid w:val="1CFA4F99"/>
    <w:rsid w:val="1D03BCEC"/>
    <w:rsid w:val="1D0883D0"/>
    <w:rsid w:val="1D115C9F"/>
    <w:rsid w:val="1D1A9274"/>
    <w:rsid w:val="1D1D4BEC"/>
    <w:rsid w:val="1D27985C"/>
    <w:rsid w:val="1D35DFF6"/>
    <w:rsid w:val="1D64BE60"/>
    <w:rsid w:val="1D73A8AD"/>
    <w:rsid w:val="1D7B09B6"/>
    <w:rsid w:val="1D7BF7FA"/>
    <w:rsid w:val="1D7C8859"/>
    <w:rsid w:val="1D7E7068"/>
    <w:rsid w:val="1D97273F"/>
    <w:rsid w:val="1D99BB0C"/>
    <w:rsid w:val="1DA3CE36"/>
    <w:rsid w:val="1DAD214E"/>
    <w:rsid w:val="1DB587E2"/>
    <w:rsid w:val="1DDD0E4C"/>
    <w:rsid w:val="1DDD6E32"/>
    <w:rsid w:val="1DE8ED0C"/>
    <w:rsid w:val="1DEC9980"/>
    <w:rsid w:val="1DF290B1"/>
    <w:rsid w:val="1DF4919B"/>
    <w:rsid w:val="1E0BA95E"/>
    <w:rsid w:val="1E154A19"/>
    <w:rsid w:val="1E1BBFF6"/>
    <w:rsid w:val="1E5E502C"/>
    <w:rsid w:val="1E630932"/>
    <w:rsid w:val="1E6846C0"/>
    <w:rsid w:val="1E72B28D"/>
    <w:rsid w:val="1E742300"/>
    <w:rsid w:val="1E78A9BE"/>
    <w:rsid w:val="1E9C5C48"/>
    <w:rsid w:val="1EB38CA9"/>
    <w:rsid w:val="1EC7603A"/>
    <w:rsid w:val="1ED6F116"/>
    <w:rsid w:val="1EE78A21"/>
    <w:rsid w:val="1EF2780B"/>
    <w:rsid w:val="1F0844C5"/>
    <w:rsid w:val="1F09C834"/>
    <w:rsid w:val="1F110EC7"/>
    <w:rsid w:val="1F148585"/>
    <w:rsid w:val="1F24BD07"/>
    <w:rsid w:val="1F296E00"/>
    <w:rsid w:val="1F2FADEA"/>
    <w:rsid w:val="1F2FE707"/>
    <w:rsid w:val="1F48BF7D"/>
    <w:rsid w:val="1F5AEEC7"/>
    <w:rsid w:val="1F5D330B"/>
    <w:rsid w:val="1F676030"/>
    <w:rsid w:val="1F6DAB5B"/>
    <w:rsid w:val="1F7E0DD4"/>
    <w:rsid w:val="1F7EED3D"/>
    <w:rsid w:val="1F8E5555"/>
    <w:rsid w:val="1F99078E"/>
    <w:rsid w:val="1F9CC5A1"/>
    <w:rsid w:val="1FA03587"/>
    <w:rsid w:val="1FA7D0A7"/>
    <w:rsid w:val="1FAA41C6"/>
    <w:rsid w:val="1FBD829F"/>
    <w:rsid w:val="1FCD9FB5"/>
    <w:rsid w:val="1FCFEE6B"/>
    <w:rsid w:val="1FDA6AAC"/>
    <w:rsid w:val="1FDC48BB"/>
    <w:rsid w:val="1FE376D3"/>
    <w:rsid w:val="1FF03CE4"/>
    <w:rsid w:val="2008FCA7"/>
    <w:rsid w:val="201AB269"/>
    <w:rsid w:val="201B00FE"/>
    <w:rsid w:val="203B6F01"/>
    <w:rsid w:val="2049B0F0"/>
    <w:rsid w:val="2049E3D3"/>
    <w:rsid w:val="204BC7A5"/>
    <w:rsid w:val="20503824"/>
    <w:rsid w:val="20666029"/>
    <w:rsid w:val="206A53D8"/>
    <w:rsid w:val="20769C49"/>
    <w:rsid w:val="207F3B36"/>
    <w:rsid w:val="2084A3CF"/>
    <w:rsid w:val="20A873C1"/>
    <w:rsid w:val="20A98EFD"/>
    <w:rsid w:val="20BE7BFF"/>
    <w:rsid w:val="20D49D5D"/>
    <w:rsid w:val="20E8909C"/>
    <w:rsid w:val="20EA3A63"/>
    <w:rsid w:val="20FE9C41"/>
    <w:rsid w:val="210EA646"/>
    <w:rsid w:val="211AA1C1"/>
    <w:rsid w:val="2121922D"/>
    <w:rsid w:val="21254E32"/>
    <w:rsid w:val="212814D6"/>
    <w:rsid w:val="21342294"/>
    <w:rsid w:val="21358BC6"/>
    <w:rsid w:val="2138CDD4"/>
    <w:rsid w:val="2151F0B5"/>
    <w:rsid w:val="2155F094"/>
    <w:rsid w:val="21565C16"/>
    <w:rsid w:val="216524E7"/>
    <w:rsid w:val="2172F0D4"/>
    <w:rsid w:val="2182AA22"/>
    <w:rsid w:val="2192F69C"/>
    <w:rsid w:val="21934F83"/>
    <w:rsid w:val="219AC1CC"/>
    <w:rsid w:val="219AC736"/>
    <w:rsid w:val="21ADDFCE"/>
    <w:rsid w:val="21ADEE78"/>
    <w:rsid w:val="21B38BB3"/>
    <w:rsid w:val="21C03A38"/>
    <w:rsid w:val="21C1F0E3"/>
    <w:rsid w:val="21C2EE70"/>
    <w:rsid w:val="21DBD41D"/>
    <w:rsid w:val="21DD1DE0"/>
    <w:rsid w:val="21E1168C"/>
    <w:rsid w:val="222A0170"/>
    <w:rsid w:val="222A61A1"/>
    <w:rsid w:val="222B99D7"/>
    <w:rsid w:val="22323A34"/>
    <w:rsid w:val="2236F9E0"/>
    <w:rsid w:val="225DD13F"/>
    <w:rsid w:val="2263404C"/>
    <w:rsid w:val="226381D2"/>
    <w:rsid w:val="22639464"/>
    <w:rsid w:val="22663B24"/>
    <w:rsid w:val="22851EF8"/>
    <w:rsid w:val="228CBD8A"/>
    <w:rsid w:val="2294E85D"/>
    <w:rsid w:val="22984859"/>
    <w:rsid w:val="22BD951C"/>
    <w:rsid w:val="22E5F4C2"/>
    <w:rsid w:val="22F865D5"/>
    <w:rsid w:val="22FB13A8"/>
    <w:rsid w:val="22FD7B6D"/>
    <w:rsid w:val="23036A00"/>
    <w:rsid w:val="23085F39"/>
    <w:rsid w:val="230BA06C"/>
    <w:rsid w:val="2314B585"/>
    <w:rsid w:val="231A7EFD"/>
    <w:rsid w:val="2327199D"/>
    <w:rsid w:val="232CFB93"/>
    <w:rsid w:val="232E17A2"/>
    <w:rsid w:val="233D198B"/>
    <w:rsid w:val="2342383F"/>
    <w:rsid w:val="23717C2C"/>
    <w:rsid w:val="2372022B"/>
    <w:rsid w:val="238AF146"/>
    <w:rsid w:val="238C497C"/>
    <w:rsid w:val="239000A0"/>
    <w:rsid w:val="23979F6D"/>
    <w:rsid w:val="23A460CB"/>
    <w:rsid w:val="23A7B010"/>
    <w:rsid w:val="23B9032A"/>
    <w:rsid w:val="23BA6CE2"/>
    <w:rsid w:val="23BAB26F"/>
    <w:rsid w:val="23BF7559"/>
    <w:rsid w:val="23C07F7E"/>
    <w:rsid w:val="23C58142"/>
    <w:rsid w:val="23E64D10"/>
    <w:rsid w:val="23FF437E"/>
    <w:rsid w:val="240FAA22"/>
    <w:rsid w:val="2417FA63"/>
    <w:rsid w:val="2426A124"/>
    <w:rsid w:val="24323130"/>
    <w:rsid w:val="243308C3"/>
    <w:rsid w:val="243A728F"/>
    <w:rsid w:val="24561D42"/>
    <w:rsid w:val="245755CC"/>
    <w:rsid w:val="24605F5E"/>
    <w:rsid w:val="246F898A"/>
    <w:rsid w:val="247DB211"/>
    <w:rsid w:val="248DC1B9"/>
    <w:rsid w:val="24934D13"/>
    <w:rsid w:val="2493A93F"/>
    <w:rsid w:val="249985E2"/>
    <w:rsid w:val="249B310C"/>
    <w:rsid w:val="24BAFFC4"/>
    <w:rsid w:val="24C043D7"/>
    <w:rsid w:val="24CB1F93"/>
    <w:rsid w:val="24CF1930"/>
    <w:rsid w:val="24E0585C"/>
    <w:rsid w:val="2502DB67"/>
    <w:rsid w:val="251D0065"/>
    <w:rsid w:val="252223AD"/>
    <w:rsid w:val="2525CF52"/>
    <w:rsid w:val="25426DCB"/>
    <w:rsid w:val="2548A2B5"/>
    <w:rsid w:val="255CF801"/>
    <w:rsid w:val="25614326"/>
    <w:rsid w:val="25659178"/>
    <w:rsid w:val="257571BE"/>
    <w:rsid w:val="257EC362"/>
    <w:rsid w:val="2584ECAB"/>
    <w:rsid w:val="258C086F"/>
    <w:rsid w:val="259C953E"/>
    <w:rsid w:val="25C44E18"/>
    <w:rsid w:val="25C4B2E9"/>
    <w:rsid w:val="25CE7271"/>
    <w:rsid w:val="25DFD7FD"/>
    <w:rsid w:val="25FE8F1E"/>
    <w:rsid w:val="26138667"/>
    <w:rsid w:val="2613C0CE"/>
    <w:rsid w:val="261E6012"/>
    <w:rsid w:val="2628C19C"/>
    <w:rsid w:val="26304B9D"/>
    <w:rsid w:val="263A955D"/>
    <w:rsid w:val="26419107"/>
    <w:rsid w:val="265F8BBA"/>
    <w:rsid w:val="266B3585"/>
    <w:rsid w:val="26723E08"/>
    <w:rsid w:val="267C4FD7"/>
    <w:rsid w:val="267F23FF"/>
    <w:rsid w:val="26863882"/>
    <w:rsid w:val="268D1689"/>
    <w:rsid w:val="269D1E29"/>
    <w:rsid w:val="269FD119"/>
    <w:rsid w:val="26B7B025"/>
    <w:rsid w:val="26B7F380"/>
    <w:rsid w:val="26BD0233"/>
    <w:rsid w:val="26BD0666"/>
    <w:rsid w:val="26D0E99F"/>
    <w:rsid w:val="26D660EF"/>
    <w:rsid w:val="26DBC835"/>
    <w:rsid w:val="26EEC10B"/>
    <w:rsid w:val="26F27607"/>
    <w:rsid w:val="26F46ACF"/>
    <w:rsid w:val="26FCEF0A"/>
    <w:rsid w:val="273D46D8"/>
    <w:rsid w:val="273E0041"/>
    <w:rsid w:val="27448D3A"/>
    <w:rsid w:val="2750727D"/>
    <w:rsid w:val="27589707"/>
    <w:rsid w:val="2759F8D7"/>
    <w:rsid w:val="275C9CF9"/>
    <w:rsid w:val="27731DD0"/>
    <w:rsid w:val="277B43B7"/>
    <w:rsid w:val="27837095"/>
    <w:rsid w:val="27843848"/>
    <w:rsid w:val="2789D40A"/>
    <w:rsid w:val="278DE886"/>
    <w:rsid w:val="2792E8C7"/>
    <w:rsid w:val="27971D6A"/>
    <w:rsid w:val="27A30402"/>
    <w:rsid w:val="27B3BEB1"/>
    <w:rsid w:val="27C01B5F"/>
    <w:rsid w:val="27C19F19"/>
    <w:rsid w:val="27C2CB95"/>
    <w:rsid w:val="27CBED48"/>
    <w:rsid w:val="27D175DB"/>
    <w:rsid w:val="27D921AD"/>
    <w:rsid w:val="27EFC495"/>
    <w:rsid w:val="27F74AF5"/>
    <w:rsid w:val="28046D9A"/>
    <w:rsid w:val="28166B8A"/>
    <w:rsid w:val="281D2FFC"/>
    <w:rsid w:val="282159C4"/>
    <w:rsid w:val="28232B20"/>
    <w:rsid w:val="28351BD4"/>
    <w:rsid w:val="28410CB8"/>
    <w:rsid w:val="28664577"/>
    <w:rsid w:val="28825EAF"/>
    <w:rsid w:val="289CD961"/>
    <w:rsid w:val="28A1AEC4"/>
    <w:rsid w:val="28CD825B"/>
    <w:rsid w:val="28E98988"/>
    <w:rsid w:val="28EF4272"/>
    <w:rsid w:val="28F04105"/>
    <w:rsid w:val="28F0C999"/>
    <w:rsid w:val="28F9B891"/>
    <w:rsid w:val="28FB53F9"/>
    <w:rsid w:val="28FDC9D3"/>
    <w:rsid w:val="29229ADE"/>
    <w:rsid w:val="294D6BB7"/>
    <w:rsid w:val="2958B53E"/>
    <w:rsid w:val="296F0C00"/>
    <w:rsid w:val="2997D38B"/>
    <w:rsid w:val="2999BB79"/>
    <w:rsid w:val="299F7610"/>
    <w:rsid w:val="29AA6067"/>
    <w:rsid w:val="29B299D4"/>
    <w:rsid w:val="29BC90EE"/>
    <w:rsid w:val="29DC1874"/>
    <w:rsid w:val="29EF4F95"/>
    <w:rsid w:val="2A137237"/>
    <w:rsid w:val="2A19348D"/>
    <w:rsid w:val="2A28336C"/>
    <w:rsid w:val="2A2834FE"/>
    <w:rsid w:val="2A41EB45"/>
    <w:rsid w:val="2A563738"/>
    <w:rsid w:val="2A565A9C"/>
    <w:rsid w:val="2A5B044E"/>
    <w:rsid w:val="2A8D1CAD"/>
    <w:rsid w:val="2A8DC131"/>
    <w:rsid w:val="2A903080"/>
    <w:rsid w:val="2A937DE1"/>
    <w:rsid w:val="2A96AACF"/>
    <w:rsid w:val="2A992D50"/>
    <w:rsid w:val="2A9E330F"/>
    <w:rsid w:val="2AA4E8DA"/>
    <w:rsid w:val="2AAB8796"/>
    <w:rsid w:val="2AC7840A"/>
    <w:rsid w:val="2AD9CF73"/>
    <w:rsid w:val="2ADA97CE"/>
    <w:rsid w:val="2ADAC2E3"/>
    <w:rsid w:val="2AEA7817"/>
    <w:rsid w:val="2AEE17B3"/>
    <w:rsid w:val="2AF50861"/>
    <w:rsid w:val="2AFE4E08"/>
    <w:rsid w:val="2B040F51"/>
    <w:rsid w:val="2B0C7177"/>
    <w:rsid w:val="2B23E01C"/>
    <w:rsid w:val="2B25A655"/>
    <w:rsid w:val="2B32DBBC"/>
    <w:rsid w:val="2B361599"/>
    <w:rsid w:val="2B3F02E6"/>
    <w:rsid w:val="2B43C1E1"/>
    <w:rsid w:val="2B5778A1"/>
    <w:rsid w:val="2B5BEF55"/>
    <w:rsid w:val="2B605DA3"/>
    <w:rsid w:val="2B6E066A"/>
    <w:rsid w:val="2B738405"/>
    <w:rsid w:val="2B7EC691"/>
    <w:rsid w:val="2B7EDD64"/>
    <w:rsid w:val="2B9C2E66"/>
    <w:rsid w:val="2B9FF78B"/>
    <w:rsid w:val="2BB17D79"/>
    <w:rsid w:val="2BB1BE1D"/>
    <w:rsid w:val="2BC9EA85"/>
    <w:rsid w:val="2BCC1FEF"/>
    <w:rsid w:val="2BD772B5"/>
    <w:rsid w:val="2BE1286C"/>
    <w:rsid w:val="2BE58986"/>
    <w:rsid w:val="2BF0453F"/>
    <w:rsid w:val="2C04B10E"/>
    <w:rsid w:val="2C07C4B2"/>
    <w:rsid w:val="2C1F26A7"/>
    <w:rsid w:val="2C29D653"/>
    <w:rsid w:val="2C37D06C"/>
    <w:rsid w:val="2C462544"/>
    <w:rsid w:val="2C490BDA"/>
    <w:rsid w:val="2C505FD2"/>
    <w:rsid w:val="2C650BF6"/>
    <w:rsid w:val="2C6751A6"/>
    <w:rsid w:val="2C75BE0F"/>
    <w:rsid w:val="2C9165EC"/>
    <w:rsid w:val="2C9A27D0"/>
    <w:rsid w:val="2CA243BE"/>
    <w:rsid w:val="2CA4D468"/>
    <w:rsid w:val="2CAB416C"/>
    <w:rsid w:val="2CC2EF3F"/>
    <w:rsid w:val="2CD57C67"/>
    <w:rsid w:val="2CD7C67A"/>
    <w:rsid w:val="2CE19613"/>
    <w:rsid w:val="2CE1E41F"/>
    <w:rsid w:val="2CE22A41"/>
    <w:rsid w:val="2CEFC1A6"/>
    <w:rsid w:val="2D01611F"/>
    <w:rsid w:val="2D0AEABE"/>
    <w:rsid w:val="2D0E68B6"/>
    <w:rsid w:val="2D10CD11"/>
    <w:rsid w:val="2D30EEB5"/>
    <w:rsid w:val="2D33F632"/>
    <w:rsid w:val="2D414EFC"/>
    <w:rsid w:val="2D5492F6"/>
    <w:rsid w:val="2D614153"/>
    <w:rsid w:val="2D8F31BD"/>
    <w:rsid w:val="2DA2049B"/>
    <w:rsid w:val="2DB78336"/>
    <w:rsid w:val="2DC4DD57"/>
    <w:rsid w:val="2DD0DE80"/>
    <w:rsid w:val="2DD62F1D"/>
    <w:rsid w:val="2DE26443"/>
    <w:rsid w:val="2DE478FF"/>
    <w:rsid w:val="2DE7E295"/>
    <w:rsid w:val="2DE80EA3"/>
    <w:rsid w:val="2DE96524"/>
    <w:rsid w:val="2DEA37F5"/>
    <w:rsid w:val="2DFD4373"/>
    <w:rsid w:val="2E06ADC3"/>
    <w:rsid w:val="2E07130C"/>
    <w:rsid w:val="2E090C0D"/>
    <w:rsid w:val="2E13C834"/>
    <w:rsid w:val="2E1CC091"/>
    <w:rsid w:val="2E2D9AB1"/>
    <w:rsid w:val="2E4C8649"/>
    <w:rsid w:val="2E6A7D77"/>
    <w:rsid w:val="2E886636"/>
    <w:rsid w:val="2E891364"/>
    <w:rsid w:val="2E89B78F"/>
    <w:rsid w:val="2EA9D511"/>
    <w:rsid w:val="2EAA652C"/>
    <w:rsid w:val="2ED2FA2E"/>
    <w:rsid w:val="2EF758A5"/>
    <w:rsid w:val="2F3BC537"/>
    <w:rsid w:val="2F42510B"/>
    <w:rsid w:val="2F5C65F6"/>
    <w:rsid w:val="2F5E4F66"/>
    <w:rsid w:val="2F6C95C7"/>
    <w:rsid w:val="2F870A3C"/>
    <w:rsid w:val="2F8BD20F"/>
    <w:rsid w:val="2F8D52D4"/>
    <w:rsid w:val="2F90E441"/>
    <w:rsid w:val="2F91C724"/>
    <w:rsid w:val="2F92855F"/>
    <w:rsid w:val="2FB09717"/>
    <w:rsid w:val="2FB8B344"/>
    <w:rsid w:val="2FBA3377"/>
    <w:rsid w:val="2FC31CF9"/>
    <w:rsid w:val="2FC7ADDC"/>
    <w:rsid w:val="2FD492F7"/>
    <w:rsid w:val="2FD62D4E"/>
    <w:rsid w:val="2FDCBFB3"/>
    <w:rsid w:val="2FE6ECAF"/>
    <w:rsid w:val="2FEE34B9"/>
    <w:rsid w:val="2FF1C96A"/>
    <w:rsid w:val="3014B2E5"/>
    <w:rsid w:val="30356303"/>
    <w:rsid w:val="30530E78"/>
    <w:rsid w:val="305705F5"/>
    <w:rsid w:val="30576496"/>
    <w:rsid w:val="305D6FC4"/>
    <w:rsid w:val="30631721"/>
    <w:rsid w:val="306A5E2F"/>
    <w:rsid w:val="307F7B83"/>
    <w:rsid w:val="3081260E"/>
    <w:rsid w:val="3086D95E"/>
    <w:rsid w:val="3088F979"/>
    <w:rsid w:val="30AD8BE7"/>
    <w:rsid w:val="30D3DFE0"/>
    <w:rsid w:val="30E46A8F"/>
    <w:rsid w:val="30EEDFD1"/>
    <w:rsid w:val="30F7947F"/>
    <w:rsid w:val="310AC5E0"/>
    <w:rsid w:val="311C21DC"/>
    <w:rsid w:val="313F0E01"/>
    <w:rsid w:val="31453673"/>
    <w:rsid w:val="314A054C"/>
    <w:rsid w:val="314F556E"/>
    <w:rsid w:val="3165999F"/>
    <w:rsid w:val="3169F638"/>
    <w:rsid w:val="317C39E1"/>
    <w:rsid w:val="31A625AD"/>
    <w:rsid w:val="31B15540"/>
    <w:rsid w:val="31B86CCC"/>
    <w:rsid w:val="31BAD65D"/>
    <w:rsid w:val="31BB08C0"/>
    <w:rsid w:val="31C705C2"/>
    <w:rsid w:val="31D1A917"/>
    <w:rsid w:val="31D67D2E"/>
    <w:rsid w:val="31E42FC7"/>
    <w:rsid w:val="31EA6395"/>
    <w:rsid w:val="31F2E3E0"/>
    <w:rsid w:val="31FA113A"/>
    <w:rsid w:val="320E3FF1"/>
    <w:rsid w:val="321730E7"/>
    <w:rsid w:val="321DC343"/>
    <w:rsid w:val="321F74F9"/>
    <w:rsid w:val="32354625"/>
    <w:rsid w:val="323C3691"/>
    <w:rsid w:val="325B723F"/>
    <w:rsid w:val="327BC815"/>
    <w:rsid w:val="3280751B"/>
    <w:rsid w:val="32895588"/>
    <w:rsid w:val="32A0F28B"/>
    <w:rsid w:val="32A7AA3A"/>
    <w:rsid w:val="32BC3C0D"/>
    <w:rsid w:val="32BEAEA9"/>
    <w:rsid w:val="32CBD74F"/>
    <w:rsid w:val="32DF172D"/>
    <w:rsid w:val="32F07C4B"/>
    <w:rsid w:val="32F7F09C"/>
    <w:rsid w:val="33368574"/>
    <w:rsid w:val="33425E4C"/>
    <w:rsid w:val="334D9025"/>
    <w:rsid w:val="3356891C"/>
    <w:rsid w:val="3363BDAC"/>
    <w:rsid w:val="3365F4E0"/>
    <w:rsid w:val="3369BED5"/>
    <w:rsid w:val="337B42BF"/>
    <w:rsid w:val="337DFC57"/>
    <w:rsid w:val="3389C8EA"/>
    <w:rsid w:val="339DBE1D"/>
    <w:rsid w:val="339F01EB"/>
    <w:rsid w:val="33AA3800"/>
    <w:rsid w:val="33AC629B"/>
    <w:rsid w:val="33AF3192"/>
    <w:rsid w:val="33C21E6E"/>
    <w:rsid w:val="33DD0331"/>
    <w:rsid w:val="33ED3542"/>
    <w:rsid w:val="33F10F6C"/>
    <w:rsid w:val="340B98E5"/>
    <w:rsid w:val="340FF3B7"/>
    <w:rsid w:val="3424060D"/>
    <w:rsid w:val="342521AB"/>
    <w:rsid w:val="34408510"/>
    <w:rsid w:val="3448281E"/>
    <w:rsid w:val="345E8B3A"/>
    <w:rsid w:val="34681358"/>
    <w:rsid w:val="34718E94"/>
    <w:rsid w:val="3477CCFD"/>
    <w:rsid w:val="347898E2"/>
    <w:rsid w:val="348964F9"/>
    <w:rsid w:val="348C1CF9"/>
    <w:rsid w:val="3490251C"/>
    <w:rsid w:val="3494A519"/>
    <w:rsid w:val="349CD314"/>
    <w:rsid w:val="34B65D60"/>
    <w:rsid w:val="34B8B90F"/>
    <w:rsid w:val="34FB02C5"/>
    <w:rsid w:val="35119546"/>
    <w:rsid w:val="352CA878"/>
    <w:rsid w:val="352E7B93"/>
    <w:rsid w:val="352F1B45"/>
    <w:rsid w:val="3532D10F"/>
    <w:rsid w:val="353A5129"/>
    <w:rsid w:val="353E0BF1"/>
    <w:rsid w:val="3547B503"/>
    <w:rsid w:val="354E7D09"/>
    <w:rsid w:val="3568C39A"/>
    <w:rsid w:val="3585E007"/>
    <w:rsid w:val="358D19A6"/>
    <w:rsid w:val="35B98194"/>
    <w:rsid w:val="35BB5562"/>
    <w:rsid w:val="35CE6B64"/>
    <w:rsid w:val="35E63E8D"/>
    <w:rsid w:val="36019004"/>
    <w:rsid w:val="3605F9EF"/>
    <w:rsid w:val="361E55E5"/>
    <w:rsid w:val="362468DD"/>
    <w:rsid w:val="363ACBCC"/>
    <w:rsid w:val="3646968A"/>
    <w:rsid w:val="36488C69"/>
    <w:rsid w:val="36538B89"/>
    <w:rsid w:val="365805F1"/>
    <w:rsid w:val="36670977"/>
    <w:rsid w:val="366B0274"/>
    <w:rsid w:val="3675BFBA"/>
    <w:rsid w:val="3675E2E6"/>
    <w:rsid w:val="36802B2B"/>
    <w:rsid w:val="3688A575"/>
    <w:rsid w:val="36967FB1"/>
    <w:rsid w:val="369AAF36"/>
    <w:rsid w:val="369B0945"/>
    <w:rsid w:val="36A13BD2"/>
    <w:rsid w:val="36A7D61A"/>
    <w:rsid w:val="36D1E4EB"/>
    <w:rsid w:val="36D80E6F"/>
    <w:rsid w:val="36E6FB51"/>
    <w:rsid w:val="36F5B862"/>
    <w:rsid w:val="36F81356"/>
    <w:rsid w:val="36FA6CCA"/>
    <w:rsid w:val="371BFBFF"/>
    <w:rsid w:val="371D4C1E"/>
    <w:rsid w:val="372819AE"/>
    <w:rsid w:val="372DD0EB"/>
    <w:rsid w:val="3732EF9F"/>
    <w:rsid w:val="37385866"/>
    <w:rsid w:val="3741A610"/>
    <w:rsid w:val="37449650"/>
    <w:rsid w:val="375CEB3E"/>
    <w:rsid w:val="375DB835"/>
    <w:rsid w:val="376553E6"/>
    <w:rsid w:val="3769EAEB"/>
    <w:rsid w:val="37716247"/>
    <w:rsid w:val="3776093C"/>
    <w:rsid w:val="3782C616"/>
    <w:rsid w:val="37873477"/>
    <w:rsid w:val="3790A452"/>
    <w:rsid w:val="379262D7"/>
    <w:rsid w:val="37BDA9A1"/>
    <w:rsid w:val="37D58DC8"/>
    <w:rsid w:val="37EC07E6"/>
    <w:rsid w:val="37FE11B9"/>
    <w:rsid w:val="3801E88A"/>
    <w:rsid w:val="38190C2B"/>
    <w:rsid w:val="38237393"/>
    <w:rsid w:val="382CC3B5"/>
    <w:rsid w:val="3837F90B"/>
    <w:rsid w:val="385CF385"/>
    <w:rsid w:val="3860C979"/>
    <w:rsid w:val="38634A34"/>
    <w:rsid w:val="386400DD"/>
    <w:rsid w:val="3868E716"/>
    <w:rsid w:val="386C9314"/>
    <w:rsid w:val="387A0D79"/>
    <w:rsid w:val="387AEBDA"/>
    <w:rsid w:val="387BD242"/>
    <w:rsid w:val="387CCB60"/>
    <w:rsid w:val="389A3F01"/>
    <w:rsid w:val="389C3E41"/>
    <w:rsid w:val="389CF75F"/>
    <w:rsid w:val="38A19227"/>
    <w:rsid w:val="38A49273"/>
    <w:rsid w:val="38AA9B79"/>
    <w:rsid w:val="38B85533"/>
    <w:rsid w:val="38B9B61E"/>
    <w:rsid w:val="38C8A650"/>
    <w:rsid w:val="38CD438D"/>
    <w:rsid w:val="38E1BB23"/>
    <w:rsid w:val="38EE395D"/>
    <w:rsid w:val="38F247C6"/>
    <w:rsid w:val="38F53D6C"/>
    <w:rsid w:val="38FC92C5"/>
    <w:rsid w:val="391FA6A6"/>
    <w:rsid w:val="392BA8F5"/>
    <w:rsid w:val="392CD68C"/>
    <w:rsid w:val="392D9DC2"/>
    <w:rsid w:val="3935DE80"/>
    <w:rsid w:val="3936A624"/>
    <w:rsid w:val="393FCC7E"/>
    <w:rsid w:val="395608B8"/>
    <w:rsid w:val="39599134"/>
    <w:rsid w:val="395E9538"/>
    <w:rsid w:val="39729997"/>
    <w:rsid w:val="3979B117"/>
    <w:rsid w:val="3998BEB0"/>
    <w:rsid w:val="39A58C61"/>
    <w:rsid w:val="39ACC904"/>
    <w:rsid w:val="39B4535C"/>
    <w:rsid w:val="39B7A482"/>
    <w:rsid w:val="39D96358"/>
    <w:rsid w:val="39ED1267"/>
    <w:rsid w:val="39FBC819"/>
    <w:rsid w:val="3A002F83"/>
    <w:rsid w:val="3A19E173"/>
    <w:rsid w:val="3A272FDF"/>
    <w:rsid w:val="3A3F0A2F"/>
    <w:rsid w:val="3A4920A3"/>
    <w:rsid w:val="3A59401A"/>
    <w:rsid w:val="3A643A9C"/>
    <w:rsid w:val="3A67586F"/>
    <w:rsid w:val="3A71A6AB"/>
    <w:rsid w:val="3A732AEE"/>
    <w:rsid w:val="3A76E0D4"/>
    <w:rsid w:val="3A7DF2F8"/>
    <w:rsid w:val="3A8AF35F"/>
    <w:rsid w:val="3A8E9F5A"/>
    <w:rsid w:val="3A9675D6"/>
    <w:rsid w:val="3A99CF7C"/>
    <w:rsid w:val="3AAB3F2F"/>
    <w:rsid w:val="3AB20CCD"/>
    <w:rsid w:val="3ABAF746"/>
    <w:rsid w:val="3AC02FE3"/>
    <w:rsid w:val="3AE6197C"/>
    <w:rsid w:val="3AE9C23A"/>
    <w:rsid w:val="3AF30046"/>
    <w:rsid w:val="3AF6CF2C"/>
    <w:rsid w:val="3B122319"/>
    <w:rsid w:val="3B1720CC"/>
    <w:rsid w:val="3B1CB624"/>
    <w:rsid w:val="3B223CAB"/>
    <w:rsid w:val="3B264F24"/>
    <w:rsid w:val="3B370816"/>
    <w:rsid w:val="3B386EF0"/>
    <w:rsid w:val="3B5A3B3A"/>
    <w:rsid w:val="3B66D3F2"/>
    <w:rsid w:val="3B673006"/>
    <w:rsid w:val="3B7B4ABA"/>
    <w:rsid w:val="3B840607"/>
    <w:rsid w:val="3B94F8E6"/>
    <w:rsid w:val="3BA7A305"/>
    <w:rsid w:val="3BC523D9"/>
    <w:rsid w:val="3BCE9CA3"/>
    <w:rsid w:val="3BD6A816"/>
    <w:rsid w:val="3BDCF2B4"/>
    <w:rsid w:val="3BDD5DE7"/>
    <w:rsid w:val="3BDDA77D"/>
    <w:rsid w:val="3BE37B95"/>
    <w:rsid w:val="3BE739A9"/>
    <w:rsid w:val="3C0D58A7"/>
    <w:rsid w:val="3C18AC40"/>
    <w:rsid w:val="3C1E4833"/>
    <w:rsid w:val="3C2FC46E"/>
    <w:rsid w:val="3C32E55E"/>
    <w:rsid w:val="3C35FF84"/>
    <w:rsid w:val="3C38A42D"/>
    <w:rsid w:val="3C3E7930"/>
    <w:rsid w:val="3C3FDAF1"/>
    <w:rsid w:val="3C51329B"/>
    <w:rsid w:val="3C54EC5B"/>
    <w:rsid w:val="3C653DF3"/>
    <w:rsid w:val="3C661862"/>
    <w:rsid w:val="3C6FCDB2"/>
    <w:rsid w:val="3C8A34F0"/>
    <w:rsid w:val="3CA2355E"/>
    <w:rsid w:val="3CA77801"/>
    <w:rsid w:val="3CAB0C46"/>
    <w:rsid w:val="3CAD7E03"/>
    <w:rsid w:val="3CAFE7F7"/>
    <w:rsid w:val="3CB48520"/>
    <w:rsid w:val="3CB4EDE4"/>
    <w:rsid w:val="3CB650DB"/>
    <w:rsid w:val="3CBCFB61"/>
    <w:rsid w:val="3CC19C4E"/>
    <w:rsid w:val="3CD4BD7E"/>
    <w:rsid w:val="3CFFEADD"/>
    <w:rsid w:val="3D126B2A"/>
    <w:rsid w:val="3D158A5C"/>
    <w:rsid w:val="3D281145"/>
    <w:rsid w:val="3D3213AA"/>
    <w:rsid w:val="3D361C33"/>
    <w:rsid w:val="3D38A34E"/>
    <w:rsid w:val="3D3CDD09"/>
    <w:rsid w:val="3D487C7D"/>
    <w:rsid w:val="3D509C5D"/>
    <w:rsid w:val="3D6BA256"/>
    <w:rsid w:val="3D754BA7"/>
    <w:rsid w:val="3D8834B6"/>
    <w:rsid w:val="3D8C7033"/>
    <w:rsid w:val="3D94B796"/>
    <w:rsid w:val="3D951DBE"/>
    <w:rsid w:val="3DA1A617"/>
    <w:rsid w:val="3DBAE9A5"/>
    <w:rsid w:val="3DD08A74"/>
    <w:rsid w:val="3E116309"/>
    <w:rsid w:val="3E1A3364"/>
    <w:rsid w:val="3E211ED5"/>
    <w:rsid w:val="3E302AD3"/>
    <w:rsid w:val="3E49BDFC"/>
    <w:rsid w:val="3E50FDFE"/>
    <w:rsid w:val="3E5F36AE"/>
    <w:rsid w:val="3E757A38"/>
    <w:rsid w:val="3E7D52A7"/>
    <w:rsid w:val="3E879D6B"/>
    <w:rsid w:val="3E8A6A07"/>
    <w:rsid w:val="3EB9499C"/>
    <w:rsid w:val="3EC4A4C2"/>
    <w:rsid w:val="3EC99CA7"/>
    <w:rsid w:val="3ED3AA8A"/>
    <w:rsid w:val="3ED61F7B"/>
    <w:rsid w:val="3ED89986"/>
    <w:rsid w:val="3EED9251"/>
    <w:rsid w:val="3EF45D3E"/>
    <w:rsid w:val="3F1B5F02"/>
    <w:rsid w:val="3F389EBD"/>
    <w:rsid w:val="3F4217B1"/>
    <w:rsid w:val="3F437753"/>
    <w:rsid w:val="3F553821"/>
    <w:rsid w:val="3F5E0A1C"/>
    <w:rsid w:val="3F83EA59"/>
    <w:rsid w:val="3F84DA07"/>
    <w:rsid w:val="3F942872"/>
    <w:rsid w:val="3F9D1A94"/>
    <w:rsid w:val="3FB3F71F"/>
    <w:rsid w:val="3FB9AEAA"/>
    <w:rsid w:val="3FC71263"/>
    <w:rsid w:val="3FD4AD3C"/>
    <w:rsid w:val="3FE3095D"/>
    <w:rsid w:val="3FE5B2E2"/>
    <w:rsid w:val="3FF5AA21"/>
    <w:rsid w:val="3FFA5C31"/>
    <w:rsid w:val="400BCAEE"/>
    <w:rsid w:val="4017BD5C"/>
    <w:rsid w:val="401C2598"/>
    <w:rsid w:val="401CFBA3"/>
    <w:rsid w:val="40395462"/>
    <w:rsid w:val="403F0612"/>
    <w:rsid w:val="405864A5"/>
    <w:rsid w:val="405DD872"/>
    <w:rsid w:val="4061A377"/>
    <w:rsid w:val="40695E7F"/>
    <w:rsid w:val="4069AD14"/>
    <w:rsid w:val="407FEC85"/>
    <w:rsid w:val="4098DE7E"/>
    <w:rsid w:val="409A61DC"/>
    <w:rsid w:val="409EA793"/>
    <w:rsid w:val="40A482F1"/>
    <w:rsid w:val="40BDAF7D"/>
    <w:rsid w:val="40C77870"/>
    <w:rsid w:val="40CAC1DD"/>
    <w:rsid w:val="40D12F80"/>
    <w:rsid w:val="40DF7BEF"/>
    <w:rsid w:val="40E09AE8"/>
    <w:rsid w:val="40E4D255"/>
    <w:rsid w:val="40EBD113"/>
    <w:rsid w:val="4100F060"/>
    <w:rsid w:val="41057955"/>
    <w:rsid w:val="410B2CB8"/>
    <w:rsid w:val="4138E8B0"/>
    <w:rsid w:val="414578B2"/>
    <w:rsid w:val="4150BAA2"/>
    <w:rsid w:val="4158FED2"/>
    <w:rsid w:val="4164DA60"/>
    <w:rsid w:val="41820721"/>
    <w:rsid w:val="4187C114"/>
    <w:rsid w:val="41A252E6"/>
    <w:rsid w:val="41A43246"/>
    <w:rsid w:val="41B08EFE"/>
    <w:rsid w:val="41B46C2C"/>
    <w:rsid w:val="41CA0B3A"/>
    <w:rsid w:val="41EBB825"/>
    <w:rsid w:val="42012BB1"/>
    <w:rsid w:val="42039009"/>
    <w:rsid w:val="42079633"/>
    <w:rsid w:val="42079B5D"/>
    <w:rsid w:val="42130F75"/>
    <w:rsid w:val="421B6879"/>
    <w:rsid w:val="421F44E5"/>
    <w:rsid w:val="42225FE6"/>
    <w:rsid w:val="425C811F"/>
    <w:rsid w:val="4275653C"/>
    <w:rsid w:val="42802A8E"/>
    <w:rsid w:val="42884158"/>
    <w:rsid w:val="428AD870"/>
    <w:rsid w:val="429AD46E"/>
    <w:rsid w:val="42A81BBD"/>
    <w:rsid w:val="42B59414"/>
    <w:rsid w:val="42C1074E"/>
    <w:rsid w:val="42C63F6F"/>
    <w:rsid w:val="42CC1FFA"/>
    <w:rsid w:val="42D7DCEB"/>
    <w:rsid w:val="42F00EA9"/>
    <w:rsid w:val="430872B2"/>
    <w:rsid w:val="430ABDD8"/>
    <w:rsid w:val="432005A0"/>
    <w:rsid w:val="432E78C4"/>
    <w:rsid w:val="433DDB12"/>
    <w:rsid w:val="4344E790"/>
    <w:rsid w:val="434F1E14"/>
    <w:rsid w:val="4358F4A2"/>
    <w:rsid w:val="436B0F5A"/>
    <w:rsid w:val="436FF26D"/>
    <w:rsid w:val="437093C6"/>
    <w:rsid w:val="43A0330D"/>
    <w:rsid w:val="43A0D613"/>
    <w:rsid w:val="43AE0235"/>
    <w:rsid w:val="43BC69FC"/>
    <w:rsid w:val="43BEC27D"/>
    <w:rsid w:val="43C39E05"/>
    <w:rsid w:val="43E89D1B"/>
    <w:rsid w:val="43F8C861"/>
    <w:rsid w:val="43FF51AE"/>
    <w:rsid w:val="441FB263"/>
    <w:rsid w:val="44301226"/>
    <w:rsid w:val="443D51AC"/>
    <w:rsid w:val="4443BC50"/>
    <w:rsid w:val="44454FE1"/>
    <w:rsid w:val="444BCF93"/>
    <w:rsid w:val="444BDA0A"/>
    <w:rsid w:val="4460A167"/>
    <w:rsid w:val="44615094"/>
    <w:rsid w:val="446479DA"/>
    <w:rsid w:val="4467EBAD"/>
    <w:rsid w:val="446F86D8"/>
    <w:rsid w:val="44743F2B"/>
    <w:rsid w:val="44797DEF"/>
    <w:rsid w:val="44858E94"/>
    <w:rsid w:val="44910590"/>
    <w:rsid w:val="4499B2DF"/>
    <w:rsid w:val="44A0EA39"/>
    <w:rsid w:val="44AE94B9"/>
    <w:rsid w:val="44C237A4"/>
    <w:rsid w:val="44C242C4"/>
    <w:rsid w:val="44C46098"/>
    <w:rsid w:val="44C6D749"/>
    <w:rsid w:val="44D3DBE2"/>
    <w:rsid w:val="44EC4B05"/>
    <w:rsid w:val="44ED6DEE"/>
    <w:rsid w:val="44F370BF"/>
    <w:rsid w:val="44FB6D48"/>
    <w:rsid w:val="4521B1D0"/>
    <w:rsid w:val="4526186C"/>
    <w:rsid w:val="4547CB8A"/>
    <w:rsid w:val="454B0B41"/>
    <w:rsid w:val="45511703"/>
    <w:rsid w:val="45580C52"/>
    <w:rsid w:val="4560B917"/>
    <w:rsid w:val="45713838"/>
    <w:rsid w:val="457B8BB2"/>
    <w:rsid w:val="4582E0EB"/>
    <w:rsid w:val="458D8B81"/>
    <w:rsid w:val="45901747"/>
    <w:rsid w:val="45A45F31"/>
    <w:rsid w:val="45A82C91"/>
    <w:rsid w:val="45D2B1EC"/>
    <w:rsid w:val="45DB30B1"/>
    <w:rsid w:val="45E6D5CB"/>
    <w:rsid w:val="45F43FFF"/>
    <w:rsid w:val="460454A6"/>
    <w:rsid w:val="460878AB"/>
    <w:rsid w:val="4609C389"/>
    <w:rsid w:val="460DFF46"/>
    <w:rsid w:val="4617D573"/>
    <w:rsid w:val="4618D5C5"/>
    <w:rsid w:val="461CD67A"/>
    <w:rsid w:val="463A121C"/>
    <w:rsid w:val="4648E5B7"/>
    <w:rsid w:val="4663F6F7"/>
    <w:rsid w:val="466FB192"/>
    <w:rsid w:val="467362E9"/>
    <w:rsid w:val="46A4FDAA"/>
    <w:rsid w:val="46B0A749"/>
    <w:rsid w:val="46B3C564"/>
    <w:rsid w:val="46B95937"/>
    <w:rsid w:val="46BC55AE"/>
    <w:rsid w:val="46C4F2F9"/>
    <w:rsid w:val="46C5E77B"/>
    <w:rsid w:val="46C73AAE"/>
    <w:rsid w:val="46D48950"/>
    <w:rsid w:val="46E2477C"/>
    <w:rsid w:val="46E53E50"/>
    <w:rsid w:val="46E76987"/>
    <w:rsid w:val="47201824"/>
    <w:rsid w:val="472086EF"/>
    <w:rsid w:val="472D1D62"/>
    <w:rsid w:val="472EAA67"/>
    <w:rsid w:val="47564444"/>
    <w:rsid w:val="47594EBC"/>
    <w:rsid w:val="475B9D31"/>
    <w:rsid w:val="4777BB65"/>
    <w:rsid w:val="478F5C37"/>
    <w:rsid w:val="47C51991"/>
    <w:rsid w:val="47C70DD5"/>
    <w:rsid w:val="47D8D3DB"/>
    <w:rsid w:val="47E9A22B"/>
    <w:rsid w:val="47F90669"/>
    <w:rsid w:val="47F9C436"/>
    <w:rsid w:val="480BCC2A"/>
    <w:rsid w:val="481B3DE2"/>
    <w:rsid w:val="4833DF86"/>
    <w:rsid w:val="48454958"/>
    <w:rsid w:val="484E9BB8"/>
    <w:rsid w:val="485133C1"/>
    <w:rsid w:val="4855C6A2"/>
    <w:rsid w:val="485807DA"/>
    <w:rsid w:val="485EE859"/>
    <w:rsid w:val="4863D29E"/>
    <w:rsid w:val="4865220E"/>
    <w:rsid w:val="4876D124"/>
    <w:rsid w:val="489D6CAB"/>
    <w:rsid w:val="489D8A4D"/>
    <w:rsid w:val="48A5650F"/>
    <w:rsid w:val="48BAD5AE"/>
    <w:rsid w:val="48BCE87D"/>
    <w:rsid w:val="48CF695D"/>
    <w:rsid w:val="48D3D090"/>
    <w:rsid w:val="48D6CA5E"/>
    <w:rsid w:val="48E655FA"/>
    <w:rsid w:val="48F60064"/>
    <w:rsid w:val="491CCDE3"/>
    <w:rsid w:val="492ACA48"/>
    <w:rsid w:val="4931056F"/>
    <w:rsid w:val="495BEDCA"/>
    <w:rsid w:val="49664F65"/>
    <w:rsid w:val="49766C60"/>
    <w:rsid w:val="4976F791"/>
    <w:rsid w:val="497849D6"/>
    <w:rsid w:val="4981C798"/>
    <w:rsid w:val="499217D7"/>
    <w:rsid w:val="4992B36F"/>
    <w:rsid w:val="499F1DD1"/>
    <w:rsid w:val="499F412F"/>
    <w:rsid w:val="49A32713"/>
    <w:rsid w:val="49B96DCC"/>
    <w:rsid w:val="49CC6364"/>
    <w:rsid w:val="49D5E28D"/>
    <w:rsid w:val="49DB724D"/>
    <w:rsid w:val="49EE6F29"/>
    <w:rsid w:val="49F7B833"/>
    <w:rsid w:val="49F9D014"/>
    <w:rsid w:val="4A0037E4"/>
    <w:rsid w:val="4A0D2012"/>
    <w:rsid w:val="4A132875"/>
    <w:rsid w:val="4A1D3045"/>
    <w:rsid w:val="4A26C5F6"/>
    <w:rsid w:val="4A276977"/>
    <w:rsid w:val="4A38BBEC"/>
    <w:rsid w:val="4A418AAA"/>
    <w:rsid w:val="4A427939"/>
    <w:rsid w:val="4A596C14"/>
    <w:rsid w:val="4A6CBE47"/>
    <w:rsid w:val="4A724F68"/>
    <w:rsid w:val="4A74041B"/>
    <w:rsid w:val="4A7843B5"/>
    <w:rsid w:val="4A7D12E6"/>
    <w:rsid w:val="4A7E52E6"/>
    <w:rsid w:val="4A8B2973"/>
    <w:rsid w:val="4A96F322"/>
    <w:rsid w:val="4AA68437"/>
    <w:rsid w:val="4AA89847"/>
    <w:rsid w:val="4AAEAEF6"/>
    <w:rsid w:val="4AB5BCAD"/>
    <w:rsid w:val="4AB97368"/>
    <w:rsid w:val="4ACA45BE"/>
    <w:rsid w:val="4ADADDA0"/>
    <w:rsid w:val="4B0AE33D"/>
    <w:rsid w:val="4B10C5C7"/>
    <w:rsid w:val="4B16124B"/>
    <w:rsid w:val="4B20008C"/>
    <w:rsid w:val="4B26E483"/>
    <w:rsid w:val="4B357EAA"/>
    <w:rsid w:val="4B3D758F"/>
    <w:rsid w:val="4B42D6A1"/>
    <w:rsid w:val="4B4A6902"/>
    <w:rsid w:val="4B4F49E0"/>
    <w:rsid w:val="4B534E85"/>
    <w:rsid w:val="4B5C7A65"/>
    <w:rsid w:val="4B62AABE"/>
    <w:rsid w:val="4B73FAD3"/>
    <w:rsid w:val="4B8D3E28"/>
    <w:rsid w:val="4BA77D75"/>
    <w:rsid w:val="4BACCE91"/>
    <w:rsid w:val="4BB6C16E"/>
    <w:rsid w:val="4BCA72B7"/>
    <w:rsid w:val="4BDB8036"/>
    <w:rsid w:val="4BF1983B"/>
    <w:rsid w:val="4C0CF879"/>
    <w:rsid w:val="4C128B72"/>
    <w:rsid w:val="4C208E62"/>
    <w:rsid w:val="4C248422"/>
    <w:rsid w:val="4C3A4030"/>
    <w:rsid w:val="4C3F3E19"/>
    <w:rsid w:val="4C3F5A46"/>
    <w:rsid w:val="4C4FCB73"/>
    <w:rsid w:val="4C5C005D"/>
    <w:rsid w:val="4C635BEA"/>
    <w:rsid w:val="4C676506"/>
    <w:rsid w:val="4C6F12D9"/>
    <w:rsid w:val="4C71818F"/>
    <w:rsid w:val="4C80C75C"/>
    <w:rsid w:val="4C925621"/>
    <w:rsid w:val="4CA33A13"/>
    <w:rsid w:val="4CA46D20"/>
    <w:rsid w:val="4CC83756"/>
    <w:rsid w:val="4CCD1B65"/>
    <w:rsid w:val="4CCDF6D0"/>
    <w:rsid w:val="4CF78D59"/>
    <w:rsid w:val="4CF960BB"/>
    <w:rsid w:val="4D13DA87"/>
    <w:rsid w:val="4D29905C"/>
    <w:rsid w:val="4D2BFD37"/>
    <w:rsid w:val="4D2DF00D"/>
    <w:rsid w:val="4D2E0CBE"/>
    <w:rsid w:val="4D5DEC28"/>
    <w:rsid w:val="4D5E0ACD"/>
    <w:rsid w:val="4D75C4D4"/>
    <w:rsid w:val="4D7D7937"/>
    <w:rsid w:val="4D87DB91"/>
    <w:rsid w:val="4D9157AA"/>
    <w:rsid w:val="4D9A1E75"/>
    <w:rsid w:val="4D9AF6B7"/>
    <w:rsid w:val="4D9C178E"/>
    <w:rsid w:val="4D9DD7BC"/>
    <w:rsid w:val="4DA1C5BB"/>
    <w:rsid w:val="4DB67BCF"/>
    <w:rsid w:val="4DCA06DB"/>
    <w:rsid w:val="4DD77016"/>
    <w:rsid w:val="4DE3E11F"/>
    <w:rsid w:val="4DFAB30D"/>
    <w:rsid w:val="4E017572"/>
    <w:rsid w:val="4E243D2A"/>
    <w:rsid w:val="4E368712"/>
    <w:rsid w:val="4E3AA01C"/>
    <w:rsid w:val="4E3E5D46"/>
    <w:rsid w:val="4E47938F"/>
    <w:rsid w:val="4E528B77"/>
    <w:rsid w:val="4E89F5B0"/>
    <w:rsid w:val="4E90D955"/>
    <w:rsid w:val="4E9CA331"/>
    <w:rsid w:val="4EA129BF"/>
    <w:rsid w:val="4EABF1B3"/>
    <w:rsid w:val="4EACC282"/>
    <w:rsid w:val="4EB042A6"/>
    <w:rsid w:val="4EB19276"/>
    <w:rsid w:val="4EBA9306"/>
    <w:rsid w:val="4EC39B7A"/>
    <w:rsid w:val="4EDB5395"/>
    <w:rsid w:val="4EFBEA21"/>
    <w:rsid w:val="4F039380"/>
    <w:rsid w:val="4F24F3FD"/>
    <w:rsid w:val="4F24F459"/>
    <w:rsid w:val="4F4F9C12"/>
    <w:rsid w:val="4F56CB8E"/>
    <w:rsid w:val="4F7D41AB"/>
    <w:rsid w:val="4F8640DC"/>
    <w:rsid w:val="4F87D6A4"/>
    <w:rsid w:val="4F88A74F"/>
    <w:rsid w:val="4F9ED1A8"/>
    <w:rsid w:val="4FA362D2"/>
    <w:rsid w:val="4FB574E7"/>
    <w:rsid w:val="4FB67C27"/>
    <w:rsid w:val="4FB721FD"/>
    <w:rsid w:val="4FC03F54"/>
    <w:rsid w:val="4FC8F730"/>
    <w:rsid w:val="4FD88441"/>
    <w:rsid w:val="4FE38153"/>
    <w:rsid w:val="4FE49A40"/>
    <w:rsid w:val="4FEF45E5"/>
    <w:rsid w:val="4FF16561"/>
    <w:rsid w:val="4FF352EE"/>
    <w:rsid w:val="4FF57E59"/>
    <w:rsid w:val="5005E94E"/>
    <w:rsid w:val="50071D90"/>
    <w:rsid w:val="500D6CF6"/>
    <w:rsid w:val="501B5491"/>
    <w:rsid w:val="50219E21"/>
    <w:rsid w:val="5021ABFC"/>
    <w:rsid w:val="50266DA2"/>
    <w:rsid w:val="50278DB5"/>
    <w:rsid w:val="502A85EE"/>
    <w:rsid w:val="503967FD"/>
    <w:rsid w:val="505283A2"/>
    <w:rsid w:val="5056680A"/>
    <w:rsid w:val="506EE69E"/>
    <w:rsid w:val="50708337"/>
    <w:rsid w:val="50715D3F"/>
    <w:rsid w:val="5074C2C1"/>
    <w:rsid w:val="508415D0"/>
    <w:rsid w:val="508942D1"/>
    <w:rsid w:val="50930AA8"/>
    <w:rsid w:val="509B4D6B"/>
    <w:rsid w:val="50A8C479"/>
    <w:rsid w:val="50CB7C06"/>
    <w:rsid w:val="50D03ADC"/>
    <w:rsid w:val="50EBF67D"/>
    <w:rsid w:val="50EDF07E"/>
    <w:rsid w:val="50F3514E"/>
    <w:rsid w:val="50F7D50E"/>
    <w:rsid w:val="50F7D914"/>
    <w:rsid w:val="5109993D"/>
    <w:rsid w:val="511CF96C"/>
    <w:rsid w:val="5135D99C"/>
    <w:rsid w:val="51364570"/>
    <w:rsid w:val="51412851"/>
    <w:rsid w:val="5149B366"/>
    <w:rsid w:val="515AB03A"/>
    <w:rsid w:val="51689F57"/>
    <w:rsid w:val="516C1642"/>
    <w:rsid w:val="5171CE9F"/>
    <w:rsid w:val="51731EDB"/>
    <w:rsid w:val="51748225"/>
    <w:rsid w:val="51784792"/>
    <w:rsid w:val="518BBE72"/>
    <w:rsid w:val="519872A3"/>
    <w:rsid w:val="519CD429"/>
    <w:rsid w:val="51A5D7FD"/>
    <w:rsid w:val="51B06E5D"/>
    <w:rsid w:val="51D41122"/>
    <w:rsid w:val="51F41D38"/>
    <w:rsid w:val="51F6304F"/>
    <w:rsid w:val="51F91725"/>
    <w:rsid w:val="51F9CDBE"/>
    <w:rsid w:val="5202B608"/>
    <w:rsid w:val="52086FE9"/>
    <w:rsid w:val="5211E78E"/>
    <w:rsid w:val="5230FAA7"/>
    <w:rsid w:val="5239A498"/>
    <w:rsid w:val="523F03C2"/>
    <w:rsid w:val="52403884"/>
    <w:rsid w:val="524C78F7"/>
    <w:rsid w:val="526B6AE7"/>
    <w:rsid w:val="5279C908"/>
    <w:rsid w:val="528EE998"/>
    <w:rsid w:val="529216E6"/>
    <w:rsid w:val="529770F8"/>
    <w:rsid w:val="52B0656D"/>
    <w:rsid w:val="52BEFE96"/>
    <w:rsid w:val="52C85429"/>
    <w:rsid w:val="52CA7C11"/>
    <w:rsid w:val="52CF6345"/>
    <w:rsid w:val="52D19CD7"/>
    <w:rsid w:val="52D3F808"/>
    <w:rsid w:val="52D40DE5"/>
    <w:rsid w:val="52D7E2B6"/>
    <w:rsid w:val="52E35F8F"/>
    <w:rsid w:val="52E5D197"/>
    <w:rsid w:val="52EC7072"/>
    <w:rsid w:val="53059CD3"/>
    <w:rsid w:val="5309C562"/>
    <w:rsid w:val="5320217B"/>
    <w:rsid w:val="53242205"/>
    <w:rsid w:val="5326A508"/>
    <w:rsid w:val="532ED375"/>
    <w:rsid w:val="5336D3C1"/>
    <w:rsid w:val="53450181"/>
    <w:rsid w:val="5356D30E"/>
    <w:rsid w:val="536301DE"/>
    <w:rsid w:val="536EB70C"/>
    <w:rsid w:val="5372A06D"/>
    <w:rsid w:val="53768158"/>
    <w:rsid w:val="5378C418"/>
    <w:rsid w:val="537A06CB"/>
    <w:rsid w:val="537CD909"/>
    <w:rsid w:val="53854046"/>
    <w:rsid w:val="539BC579"/>
    <w:rsid w:val="53ABE4D4"/>
    <w:rsid w:val="53B22C13"/>
    <w:rsid w:val="53BA2C6E"/>
    <w:rsid w:val="53BEF224"/>
    <w:rsid w:val="53D3FC4F"/>
    <w:rsid w:val="53DA742E"/>
    <w:rsid w:val="53DCBEF5"/>
    <w:rsid w:val="53E58093"/>
    <w:rsid w:val="53F958A9"/>
    <w:rsid w:val="53FACFF9"/>
    <w:rsid w:val="5408A6D5"/>
    <w:rsid w:val="540B048B"/>
    <w:rsid w:val="540E84F7"/>
    <w:rsid w:val="541BFECD"/>
    <w:rsid w:val="541ED7C2"/>
    <w:rsid w:val="54396436"/>
    <w:rsid w:val="543A1249"/>
    <w:rsid w:val="5443C913"/>
    <w:rsid w:val="544B6B85"/>
    <w:rsid w:val="544BB699"/>
    <w:rsid w:val="5470C737"/>
    <w:rsid w:val="54755ABE"/>
    <w:rsid w:val="547C74DF"/>
    <w:rsid w:val="5493BED8"/>
    <w:rsid w:val="54ACBEC8"/>
    <w:rsid w:val="54ACE4F4"/>
    <w:rsid w:val="54AF92DA"/>
    <w:rsid w:val="54B9EE59"/>
    <w:rsid w:val="54C413A5"/>
    <w:rsid w:val="54CA4AA9"/>
    <w:rsid w:val="54D3E6EB"/>
    <w:rsid w:val="54D62284"/>
    <w:rsid w:val="54F8EEAD"/>
    <w:rsid w:val="54FC999C"/>
    <w:rsid w:val="5502080D"/>
    <w:rsid w:val="5503D90D"/>
    <w:rsid w:val="55067BBB"/>
    <w:rsid w:val="5512C435"/>
    <w:rsid w:val="55344BD5"/>
    <w:rsid w:val="5539D8A4"/>
    <w:rsid w:val="553C799C"/>
    <w:rsid w:val="556E595F"/>
    <w:rsid w:val="557814E0"/>
    <w:rsid w:val="55790D78"/>
    <w:rsid w:val="55963C0F"/>
    <w:rsid w:val="5596AFAE"/>
    <w:rsid w:val="55ACDAAC"/>
    <w:rsid w:val="55B0EDD3"/>
    <w:rsid w:val="55C55A19"/>
    <w:rsid w:val="55DA3EBD"/>
    <w:rsid w:val="560E7AA5"/>
    <w:rsid w:val="5616FE21"/>
    <w:rsid w:val="562783A3"/>
    <w:rsid w:val="56352DA6"/>
    <w:rsid w:val="563A57A8"/>
    <w:rsid w:val="563E28A1"/>
    <w:rsid w:val="56465E52"/>
    <w:rsid w:val="5652D763"/>
    <w:rsid w:val="5655EAC4"/>
    <w:rsid w:val="56584C22"/>
    <w:rsid w:val="565DAE52"/>
    <w:rsid w:val="566129E1"/>
    <w:rsid w:val="569120E8"/>
    <w:rsid w:val="569943E3"/>
    <w:rsid w:val="56A05DF2"/>
    <w:rsid w:val="56AD5F2E"/>
    <w:rsid w:val="56B9733E"/>
    <w:rsid w:val="56F17C04"/>
    <w:rsid w:val="56FB1EA3"/>
    <w:rsid w:val="5712DF20"/>
    <w:rsid w:val="5719CB6F"/>
    <w:rsid w:val="571E9DDB"/>
    <w:rsid w:val="57227FE5"/>
    <w:rsid w:val="57238457"/>
    <w:rsid w:val="57280A73"/>
    <w:rsid w:val="5740612C"/>
    <w:rsid w:val="5769C624"/>
    <w:rsid w:val="5775F6D8"/>
    <w:rsid w:val="577D02C3"/>
    <w:rsid w:val="578EB410"/>
    <w:rsid w:val="57922E7D"/>
    <w:rsid w:val="57A82C0C"/>
    <w:rsid w:val="57B92F18"/>
    <w:rsid w:val="57B9C3EC"/>
    <w:rsid w:val="57C2C9DE"/>
    <w:rsid w:val="57D54A77"/>
    <w:rsid w:val="57E42ABA"/>
    <w:rsid w:val="57EAFB2C"/>
    <w:rsid w:val="57EFB81D"/>
    <w:rsid w:val="57F615BC"/>
    <w:rsid w:val="580BEF0B"/>
    <w:rsid w:val="580CCC8F"/>
    <w:rsid w:val="5813212A"/>
    <w:rsid w:val="58159453"/>
    <w:rsid w:val="581B9E50"/>
    <w:rsid w:val="5835C6C5"/>
    <w:rsid w:val="584BB186"/>
    <w:rsid w:val="584BCBCE"/>
    <w:rsid w:val="588A3BF7"/>
    <w:rsid w:val="58930F71"/>
    <w:rsid w:val="58A37A4C"/>
    <w:rsid w:val="58B4D337"/>
    <w:rsid w:val="58B52155"/>
    <w:rsid w:val="58BF3C31"/>
    <w:rsid w:val="58CBAC74"/>
    <w:rsid w:val="58D0DA73"/>
    <w:rsid w:val="58E6FE3E"/>
    <w:rsid w:val="58EF67A9"/>
    <w:rsid w:val="58F82908"/>
    <w:rsid w:val="59009F92"/>
    <w:rsid w:val="5902B810"/>
    <w:rsid w:val="590ABA24"/>
    <w:rsid w:val="590BC5DD"/>
    <w:rsid w:val="59160BE8"/>
    <w:rsid w:val="5916EC86"/>
    <w:rsid w:val="591E0FC3"/>
    <w:rsid w:val="591F8723"/>
    <w:rsid w:val="5929E94F"/>
    <w:rsid w:val="59360891"/>
    <w:rsid w:val="593AB40F"/>
    <w:rsid w:val="593F33B9"/>
    <w:rsid w:val="59446372"/>
    <w:rsid w:val="5945DF41"/>
    <w:rsid w:val="59647F7B"/>
    <w:rsid w:val="59767EE4"/>
    <w:rsid w:val="59784792"/>
    <w:rsid w:val="59793690"/>
    <w:rsid w:val="597E4D66"/>
    <w:rsid w:val="597FC27F"/>
    <w:rsid w:val="5988332A"/>
    <w:rsid w:val="598ADCCC"/>
    <w:rsid w:val="59A1ED92"/>
    <w:rsid w:val="59AEE6F2"/>
    <w:rsid w:val="59BBC0D1"/>
    <w:rsid w:val="59C9AEF8"/>
    <w:rsid w:val="59E765D5"/>
    <w:rsid w:val="59EFA19F"/>
    <w:rsid w:val="5A103AD6"/>
    <w:rsid w:val="5A1148EC"/>
    <w:rsid w:val="5A126DAC"/>
    <w:rsid w:val="5A1EC399"/>
    <w:rsid w:val="5A21E667"/>
    <w:rsid w:val="5A2214EC"/>
    <w:rsid w:val="5A27CA96"/>
    <w:rsid w:val="5A42FA97"/>
    <w:rsid w:val="5A5156FC"/>
    <w:rsid w:val="5A6A64F8"/>
    <w:rsid w:val="5A6B2A5B"/>
    <w:rsid w:val="5A7AD624"/>
    <w:rsid w:val="5A9AEB4A"/>
    <w:rsid w:val="5AA8FEF3"/>
    <w:rsid w:val="5AAAB450"/>
    <w:rsid w:val="5AC26225"/>
    <w:rsid w:val="5ACB86D9"/>
    <w:rsid w:val="5ADCF7B8"/>
    <w:rsid w:val="5AEFFCB8"/>
    <w:rsid w:val="5B1A2227"/>
    <w:rsid w:val="5B213930"/>
    <w:rsid w:val="5B22BCB1"/>
    <w:rsid w:val="5B31E96D"/>
    <w:rsid w:val="5B32C2FF"/>
    <w:rsid w:val="5B353546"/>
    <w:rsid w:val="5B4B6210"/>
    <w:rsid w:val="5B5D176E"/>
    <w:rsid w:val="5B88863A"/>
    <w:rsid w:val="5BAD54F5"/>
    <w:rsid w:val="5BAFB241"/>
    <w:rsid w:val="5BB777FD"/>
    <w:rsid w:val="5BCB5830"/>
    <w:rsid w:val="5BDF6DC0"/>
    <w:rsid w:val="5BE25A53"/>
    <w:rsid w:val="5BE393DB"/>
    <w:rsid w:val="5BE760EB"/>
    <w:rsid w:val="5BEA5271"/>
    <w:rsid w:val="5BEEEBA7"/>
    <w:rsid w:val="5BF4350E"/>
    <w:rsid w:val="5BF9B39F"/>
    <w:rsid w:val="5C011501"/>
    <w:rsid w:val="5C15BD65"/>
    <w:rsid w:val="5C1A454B"/>
    <w:rsid w:val="5C2BEA7B"/>
    <w:rsid w:val="5C2CCDF6"/>
    <w:rsid w:val="5C2D370A"/>
    <w:rsid w:val="5C3503EC"/>
    <w:rsid w:val="5C567B73"/>
    <w:rsid w:val="5C56C2AF"/>
    <w:rsid w:val="5C73B059"/>
    <w:rsid w:val="5C765EDE"/>
    <w:rsid w:val="5C9483ED"/>
    <w:rsid w:val="5C9E5775"/>
    <w:rsid w:val="5CA089CC"/>
    <w:rsid w:val="5CA25A6B"/>
    <w:rsid w:val="5CA39A95"/>
    <w:rsid w:val="5CEB86FD"/>
    <w:rsid w:val="5CFD7054"/>
    <w:rsid w:val="5D0671CA"/>
    <w:rsid w:val="5D109D34"/>
    <w:rsid w:val="5D21B1CB"/>
    <w:rsid w:val="5D289066"/>
    <w:rsid w:val="5D31796C"/>
    <w:rsid w:val="5D32F958"/>
    <w:rsid w:val="5D38D2B5"/>
    <w:rsid w:val="5D40B9A7"/>
    <w:rsid w:val="5D621652"/>
    <w:rsid w:val="5D6C5C32"/>
    <w:rsid w:val="5D7AE471"/>
    <w:rsid w:val="5D8B7097"/>
    <w:rsid w:val="5D8EC2AF"/>
    <w:rsid w:val="5D9505C2"/>
    <w:rsid w:val="5D9541D7"/>
    <w:rsid w:val="5D9F7D05"/>
    <w:rsid w:val="5DAA6187"/>
    <w:rsid w:val="5DB70C89"/>
    <w:rsid w:val="5DC9E601"/>
    <w:rsid w:val="5DCE7497"/>
    <w:rsid w:val="5DD7C6D9"/>
    <w:rsid w:val="5DDE56F9"/>
    <w:rsid w:val="5DF143AE"/>
    <w:rsid w:val="5DF9A80C"/>
    <w:rsid w:val="5DFE2C7C"/>
    <w:rsid w:val="5E07C487"/>
    <w:rsid w:val="5E0D4DBC"/>
    <w:rsid w:val="5E0DBA9D"/>
    <w:rsid w:val="5E0DFF20"/>
    <w:rsid w:val="5E1A7818"/>
    <w:rsid w:val="5E22449D"/>
    <w:rsid w:val="5E2A640E"/>
    <w:rsid w:val="5E751D84"/>
    <w:rsid w:val="5E7D12A5"/>
    <w:rsid w:val="5E7EFCE7"/>
    <w:rsid w:val="5E873E4F"/>
    <w:rsid w:val="5E8FC50C"/>
    <w:rsid w:val="5E90580B"/>
    <w:rsid w:val="5EACC71B"/>
    <w:rsid w:val="5ECEDB2C"/>
    <w:rsid w:val="5ED06AA2"/>
    <w:rsid w:val="5ED3985B"/>
    <w:rsid w:val="5ED4DA1A"/>
    <w:rsid w:val="5EF95F5E"/>
    <w:rsid w:val="5EF9D311"/>
    <w:rsid w:val="5EFAB02C"/>
    <w:rsid w:val="5EFBF3B6"/>
    <w:rsid w:val="5EFD6C1F"/>
    <w:rsid w:val="5F2760F1"/>
    <w:rsid w:val="5F3DDE4F"/>
    <w:rsid w:val="5F452E44"/>
    <w:rsid w:val="5F59DCC3"/>
    <w:rsid w:val="5F61C0F2"/>
    <w:rsid w:val="5F633491"/>
    <w:rsid w:val="5F87630A"/>
    <w:rsid w:val="5F92004F"/>
    <w:rsid w:val="5FA36DF7"/>
    <w:rsid w:val="5FB2BC4A"/>
    <w:rsid w:val="5FBAB4C2"/>
    <w:rsid w:val="5FBC215B"/>
    <w:rsid w:val="5FBD91DE"/>
    <w:rsid w:val="5FBF3FF6"/>
    <w:rsid w:val="5FC08CAA"/>
    <w:rsid w:val="5FE7FA88"/>
    <w:rsid w:val="5FF50301"/>
    <w:rsid w:val="600F1168"/>
    <w:rsid w:val="6014859C"/>
    <w:rsid w:val="601FE11B"/>
    <w:rsid w:val="603CAFA4"/>
    <w:rsid w:val="603E4140"/>
    <w:rsid w:val="603F35BF"/>
    <w:rsid w:val="603FB75C"/>
    <w:rsid w:val="604713F1"/>
    <w:rsid w:val="606DDD78"/>
    <w:rsid w:val="60748770"/>
    <w:rsid w:val="607B35A5"/>
    <w:rsid w:val="607E7631"/>
    <w:rsid w:val="608019A9"/>
    <w:rsid w:val="6085B3EB"/>
    <w:rsid w:val="608913A0"/>
    <w:rsid w:val="6089F498"/>
    <w:rsid w:val="60926AEB"/>
    <w:rsid w:val="6093B341"/>
    <w:rsid w:val="609C6DCF"/>
    <w:rsid w:val="60A09A58"/>
    <w:rsid w:val="60B79575"/>
    <w:rsid w:val="60CB3E7B"/>
    <w:rsid w:val="60CD1716"/>
    <w:rsid w:val="60DB16CD"/>
    <w:rsid w:val="60DE9196"/>
    <w:rsid w:val="60E4AD7F"/>
    <w:rsid w:val="61077062"/>
    <w:rsid w:val="6132738B"/>
    <w:rsid w:val="61432E91"/>
    <w:rsid w:val="615B65AA"/>
    <w:rsid w:val="615F21C2"/>
    <w:rsid w:val="6165F606"/>
    <w:rsid w:val="616DC01A"/>
    <w:rsid w:val="61858646"/>
    <w:rsid w:val="6192512A"/>
    <w:rsid w:val="61949A9E"/>
    <w:rsid w:val="6196B76E"/>
    <w:rsid w:val="619C0F3B"/>
    <w:rsid w:val="61A14D33"/>
    <w:rsid w:val="61B1EA09"/>
    <w:rsid w:val="61D57310"/>
    <w:rsid w:val="61D7BE72"/>
    <w:rsid w:val="61EE97BD"/>
    <w:rsid w:val="61EFFA6F"/>
    <w:rsid w:val="61FEA983"/>
    <w:rsid w:val="62255F19"/>
    <w:rsid w:val="622A34EF"/>
    <w:rsid w:val="62344A0E"/>
    <w:rsid w:val="62349440"/>
    <w:rsid w:val="623D874B"/>
    <w:rsid w:val="62403E47"/>
    <w:rsid w:val="6248471D"/>
    <w:rsid w:val="625F992B"/>
    <w:rsid w:val="6281DA49"/>
    <w:rsid w:val="6287FF5E"/>
    <w:rsid w:val="62A3A6F6"/>
    <w:rsid w:val="62AD9D5A"/>
    <w:rsid w:val="62B36E0C"/>
    <w:rsid w:val="62C23834"/>
    <w:rsid w:val="62D4BD60"/>
    <w:rsid w:val="62E8FA82"/>
    <w:rsid w:val="62FA16B1"/>
    <w:rsid w:val="633B402F"/>
    <w:rsid w:val="633C5B52"/>
    <w:rsid w:val="633D0137"/>
    <w:rsid w:val="633FD39D"/>
    <w:rsid w:val="63446873"/>
    <w:rsid w:val="6347CECC"/>
    <w:rsid w:val="637F3C35"/>
    <w:rsid w:val="6394E273"/>
    <w:rsid w:val="6397F090"/>
    <w:rsid w:val="639C4C1F"/>
    <w:rsid w:val="639FB46F"/>
    <w:rsid w:val="63B2BD0D"/>
    <w:rsid w:val="63B72B98"/>
    <w:rsid w:val="63C28C49"/>
    <w:rsid w:val="63D04E76"/>
    <w:rsid w:val="63E3BF0D"/>
    <w:rsid w:val="63F370CD"/>
    <w:rsid w:val="63F37801"/>
    <w:rsid w:val="63F39F80"/>
    <w:rsid w:val="640D4019"/>
    <w:rsid w:val="6416723D"/>
    <w:rsid w:val="6431E82B"/>
    <w:rsid w:val="6432CF31"/>
    <w:rsid w:val="64394A9F"/>
    <w:rsid w:val="644707D5"/>
    <w:rsid w:val="64556370"/>
    <w:rsid w:val="647827DD"/>
    <w:rsid w:val="648986F8"/>
    <w:rsid w:val="64955F77"/>
    <w:rsid w:val="64988E20"/>
    <w:rsid w:val="64996528"/>
    <w:rsid w:val="649CD77E"/>
    <w:rsid w:val="64B5BB6B"/>
    <w:rsid w:val="64C64161"/>
    <w:rsid w:val="64C851A2"/>
    <w:rsid w:val="64CED8C4"/>
    <w:rsid w:val="64D29F6A"/>
    <w:rsid w:val="64DA0708"/>
    <w:rsid w:val="64E2CA8C"/>
    <w:rsid w:val="64E6D546"/>
    <w:rsid w:val="64ECEDB9"/>
    <w:rsid w:val="64EFDABE"/>
    <w:rsid w:val="651D30C2"/>
    <w:rsid w:val="6521B2D0"/>
    <w:rsid w:val="653087B7"/>
    <w:rsid w:val="65398BEE"/>
    <w:rsid w:val="653B692A"/>
    <w:rsid w:val="653B8F32"/>
    <w:rsid w:val="6545E4D4"/>
    <w:rsid w:val="655368D2"/>
    <w:rsid w:val="6556C275"/>
    <w:rsid w:val="6571C14A"/>
    <w:rsid w:val="657B5CE3"/>
    <w:rsid w:val="6581E54A"/>
    <w:rsid w:val="65A72855"/>
    <w:rsid w:val="65AB0652"/>
    <w:rsid w:val="65AD5C44"/>
    <w:rsid w:val="65BD2B82"/>
    <w:rsid w:val="65C4285E"/>
    <w:rsid w:val="65C81500"/>
    <w:rsid w:val="65E386EA"/>
    <w:rsid w:val="65FD0303"/>
    <w:rsid w:val="66038337"/>
    <w:rsid w:val="660D9898"/>
    <w:rsid w:val="661A22D4"/>
    <w:rsid w:val="66240B3F"/>
    <w:rsid w:val="664B8EC0"/>
    <w:rsid w:val="664D7E7E"/>
    <w:rsid w:val="664E254D"/>
    <w:rsid w:val="665FC488"/>
    <w:rsid w:val="6664AAC6"/>
    <w:rsid w:val="6674C0BF"/>
    <w:rsid w:val="667909CE"/>
    <w:rsid w:val="667B3AFD"/>
    <w:rsid w:val="6688EC5B"/>
    <w:rsid w:val="668A66C4"/>
    <w:rsid w:val="66976DE1"/>
    <w:rsid w:val="66A14940"/>
    <w:rsid w:val="66AE67EF"/>
    <w:rsid w:val="66B344E6"/>
    <w:rsid w:val="66B4F6D8"/>
    <w:rsid w:val="66CAEAB8"/>
    <w:rsid w:val="66CDC447"/>
    <w:rsid w:val="66CE157D"/>
    <w:rsid w:val="66DF06F1"/>
    <w:rsid w:val="66FF0C15"/>
    <w:rsid w:val="670B2EAF"/>
    <w:rsid w:val="670E7BE1"/>
    <w:rsid w:val="67104DBF"/>
    <w:rsid w:val="671D7757"/>
    <w:rsid w:val="671DA7B1"/>
    <w:rsid w:val="671F50D4"/>
    <w:rsid w:val="6720BD89"/>
    <w:rsid w:val="6720D682"/>
    <w:rsid w:val="6726FB8D"/>
    <w:rsid w:val="672F9C98"/>
    <w:rsid w:val="674338E8"/>
    <w:rsid w:val="67556F13"/>
    <w:rsid w:val="676B14BD"/>
    <w:rsid w:val="6770E8F1"/>
    <w:rsid w:val="677713A9"/>
    <w:rsid w:val="678D4575"/>
    <w:rsid w:val="67905AB9"/>
    <w:rsid w:val="6792BDE0"/>
    <w:rsid w:val="67C0CB01"/>
    <w:rsid w:val="67D9B4F4"/>
    <w:rsid w:val="67F511FD"/>
    <w:rsid w:val="68044C55"/>
    <w:rsid w:val="68086B89"/>
    <w:rsid w:val="680D7DFF"/>
    <w:rsid w:val="680DB38A"/>
    <w:rsid w:val="68115FB0"/>
    <w:rsid w:val="6813599D"/>
    <w:rsid w:val="6818824E"/>
    <w:rsid w:val="681C0527"/>
    <w:rsid w:val="681FEC29"/>
    <w:rsid w:val="6835335C"/>
    <w:rsid w:val="683A4496"/>
    <w:rsid w:val="683ED19F"/>
    <w:rsid w:val="685C9DA3"/>
    <w:rsid w:val="685F52E6"/>
    <w:rsid w:val="686A1C3B"/>
    <w:rsid w:val="687ECDA6"/>
    <w:rsid w:val="688526F9"/>
    <w:rsid w:val="68A92EC2"/>
    <w:rsid w:val="68B6FC29"/>
    <w:rsid w:val="68BF9816"/>
    <w:rsid w:val="68CA79B6"/>
    <w:rsid w:val="68CFA41D"/>
    <w:rsid w:val="68DCCBD6"/>
    <w:rsid w:val="68E1AAF5"/>
    <w:rsid w:val="691A082F"/>
    <w:rsid w:val="6920BC34"/>
    <w:rsid w:val="6930914A"/>
    <w:rsid w:val="6950F5EE"/>
    <w:rsid w:val="695CA33A"/>
    <w:rsid w:val="6965B635"/>
    <w:rsid w:val="6992582F"/>
    <w:rsid w:val="6996692B"/>
    <w:rsid w:val="69B0B0C2"/>
    <w:rsid w:val="69B1BC97"/>
    <w:rsid w:val="69B3234A"/>
    <w:rsid w:val="69BDC332"/>
    <w:rsid w:val="69C7DC12"/>
    <w:rsid w:val="69ED5C5E"/>
    <w:rsid w:val="69F6E268"/>
    <w:rsid w:val="6A03071F"/>
    <w:rsid w:val="6A081CB2"/>
    <w:rsid w:val="6A0E3C73"/>
    <w:rsid w:val="6A1390BE"/>
    <w:rsid w:val="6A2368AB"/>
    <w:rsid w:val="6A58693F"/>
    <w:rsid w:val="6A640DAE"/>
    <w:rsid w:val="6A65267C"/>
    <w:rsid w:val="6A7A1423"/>
    <w:rsid w:val="6A7B30EC"/>
    <w:rsid w:val="6A7CA714"/>
    <w:rsid w:val="6A9528CF"/>
    <w:rsid w:val="6A9BFBD3"/>
    <w:rsid w:val="6AB01D57"/>
    <w:rsid w:val="6AC3989F"/>
    <w:rsid w:val="6AC485AD"/>
    <w:rsid w:val="6AF7EB10"/>
    <w:rsid w:val="6B291E30"/>
    <w:rsid w:val="6B33FA1F"/>
    <w:rsid w:val="6B6585C1"/>
    <w:rsid w:val="6B65D769"/>
    <w:rsid w:val="6B748905"/>
    <w:rsid w:val="6B99AD86"/>
    <w:rsid w:val="6B99C652"/>
    <w:rsid w:val="6B9AF6A5"/>
    <w:rsid w:val="6BB5C335"/>
    <w:rsid w:val="6BB81AB5"/>
    <w:rsid w:val="6BCAC1E5"/>
    <w:rsid w:val="6BD341B7"/>
    <w:rsid w:val="6BE9137A"/>
    <w:rsid w:val="6BEBBD7B"/>
    <w:rsid w:val="6BFE0004"/>
    <w:rsid w:val="6C075129"/>
    <w:rsid w:val="6C082331"/>
    <w:rsid w:val="6C0A12D9"/>
    <w:rsid w:val="6C0C23E3"/>
    <w:rsid w:val="6C205C33"/>
    <w:rsid w:val="6C25D5A8"/>
    <w:rsid w:val="6C2B422F"/>
    <w:rsid w:val="6C31ACAF"/>
    <w:rsid w:val="6C344235"/>
    <w:rsid w:val="6C3E9E95"/>
    <w:rsid w:val="6C3EAC92"/>
    <w:rsid w:val="6C47E68B"/>
    <w:rsid w:val="6C565AE0"/>
    <w:rsid w:val="6C6785E5"/>
    <w:rsid w:val="6C6BEF28"/>
    <w:rsid w:val="6C73312C"/>
    <w:rsid w:val="6C740E1A"/>
    <w:rsid w:val="6C9F4561"/>
    <w:rsid w:val="6CA5F455"/>
    <w:rsid w:val="6CA79830"/>
    <w:rsid w:val="6CAA8001"/>
    <w:rsid w:val="6CB1A4F3"/>
    <w:rsid w:val="6CB240C7"/>
    <w:rsid w:val="6CBF25EB"/>
    <w:rsid w:val="6CCAD6EE"/>
    <w:rsid w:val="6CEF5808"/>
    <w:rsid w:val="6CF6DA26"/>
    <w:rsid w:val="6D0BB4A2"/>
    <w:rsid w:val="6D14939B"/>
    <w:rsid w:val="6D14E874"/>
    <w:rsid w:val="6D17755F"/>
    <w:rsid w:val="6D24E61D"/>
    <w:rsid w:val="6D368BD1"/>
    <w:rsid w:val="6D39DE9D"/>
    <w:rsid w:val="6D3B261E"/>
    <w:rsid w:val="6D42E310"/>
    <w:rsid w:val="6D47A546"/>
    <w:rsid w:val="6D50EB44"/>
    <w:rsid w:val="6D5A58E3"/>
    <w:rsid w:val="6D710F82"/>
    <w:rsid w:val="6D72433F"/>
    <w:rsid w:val="6D744CA2"/>
    <w:rsid w:val="6D8B17F2"/>
    <w:rsid w:val="6D90193C"/>
    <w:rsid w:val="6D92DFE0"/>
    <w:rsid w:val="6D95A009"/>
    <w:rsid w:val="6D95F35A"/>
    <w:rsid w:val="6D9EDEE8"/>
    <w:rsid w:val="6DA1E08D"/>
    <w:rsid w:val="6DAFDF53"/>
    <w:rsid w:val="6DBADBB0"/>
    <w:rsid w:val="6DC306AB"/>
    <w:rsid w:val="6DD6668E"/>
    <w:rsid w:val="6DD972B7"/>
    <w:rsid w:val="6DDCF3DD"/>
    <w:rsid w:val="6DE0ABC5"/>
    <w:rsid w:val="6DE803EE"/>
    <w:rsid w:val="6DE95236"/>
    <w:rsid w:val="6DF44760"/>
    <w:rsid w:val="6DFC6487"/>
    <w:rsid w:val="6E022ECC"/>
    <w:rsid w:val="6E08BEC4"/>
    <w:rsid w:val="6E0C12C8"/>
    <w:rsid w:val="6E194DA1"/>
    <w:rsid w:val="6E246E12"/>
    <w:rsid w:val="6E350D0E"/>
    <w:rsid w:val="6E55CA1E"/>
    <w:rsid w:val="6E5A3178"/>
    <w:rsid w:val="6E5B133B"/>
    <w:rsid w:val="6E68B323"/>
    <w:rsid w:val="6E8E8B92"/>
    <w:rsid w:val="6E91E1BD"/>
    <w:rsid w:val="6E940315"/>
    <w:rsid w:val="6E9798E4"/>
    <w:rsid w:val="6EB3AE19"/>
    <w:rsid w:val="6EC8FE92"/>
    <w:rsid w:val="6ECCB15D"/>
    <w:rsid w:val="6EDC6F53"/>
    <w:rsid w:val="6EE4F3F5"/>
    <w:rsid w:val="6EEB9A6C"/>
    <w:rsid w:val="6EEE3886"/>
    <w:rsid w:val="6EFD2153"/>
    <w:rsid w:val="6F09C99E"/>
    <w:rsid w:val="6F196187"/>
    <w:rsid w:val="6F1A58ED"/>
    <w:rsid w:val="6F640ACB"/>
    <w:rsid w:val="6F79735D"/>
    <w:rsid w:val="6F7C8F37"/>
    <w:rsid w:val="6F858BD0"/>
    <w:rsid w:val="6F952713"/>
    <w:rsid w:val="6FA43BB2"/>
    <w:rsid w:val="6FA7A2F6"/>
    <w:rsid w:val="6FBA4FD8"/>
    <w:rsid w:val="6FBD3782"/>
    <w:rsid w:val="6FCA7E17"/>
    <w:rsid w:val="6FD053AD"/>
    <w:rsid w:val="6FD22B06"/>
    <w:rsid w:val="6FE3655B"/>
    <w:rsid w:val="6FF8A6FF"/>
    <w:rsid w:val="700121FB"/>
    <w:rsid w:val="700185A3"/>
    <w:rsid w:val="7015741A"/>
    <w:rsid w:val="701EC79A"/>
    <w:rsid w:val="70375B28"/>
    <w:rsid w:val="7037BDAB"/>
    <w:rsid w:val="7037D5BD"/>
    <w:rsid w:val="703880D7"/>
    <w:rsid w:val="704E2295"/>
    <w:rsid w:val="706036FC"/>
    <w:rsid w:val="7089E5C6"/>
    <w:rsid w:val="708FC487"/>
    <w:rsid w:val="70A349EB"/>
    <w:rsid w:val="70A94C62"/>
    <w:rsid w:val="70BDEA9D"/>
    <w:rsid w:val="70C43904"/>
    <w:rsid w:val="70D0AC46"/>
    <w:rsid w:val="70DC3F3D"/>
    <w:rsid w:val="70DCF775"/>
    <w:rsid w:val="70F4FD80"/>
    <w:rsid w:val="7106C794"/>
    <w:rsid w:val="710AE90A"/>
    <w:rsid w:val="710C7543"/>
    <w:rsid w:val="710ED7F7"/>
    <w:rsid w:val="7119CE52"/>
    <w:rsid w:val="713A4080"/>
    <w:rsid w:val="71473F2A"/>
    <w:rsid w:val="71540B52"/>
    <w:rsid w:val="716B1C87"/>
    <w:rsid w:val="716CFE83"/>
    <w:rsid w:val="716D8D22"/>
    <w:rsid w:val="7181B475"/>
    <w:rsid w:val="7187F2C6"/>
    <w:rsid w:val="719E765B"/>
    <w:rsid w:val="71A6E088"/>
    <w:rsid w:val="71A8FBB5"/>
    <w:rsid w:val="71B5F83F"/>
    <w:rsid w:val="71B7A1AC"/>
    <w:rsid w:val="71C2EC65"/>
    <w:rsid w:val="71CD022D"/>
    <w:rsid w:val="71CE1B8F"/>
    <w:rsid w:val="71E26B12"/>
    <w:rsid w:val="71EF05FE"/>
    <w:rsid w:val="7206FB45"/>
    <w:rsid w:val="72075FEC"/>
    <w:rsid w:val="72128D25"/>
    <w:rsid w:val="7248AE8A"/>
    <w:rsid w:val="724A9CE3"/>
    <w:rsid w:val="724C20E6"/>
    <w:rsid w:val="726069EC"/>
    <w:rsid w:val="7273881C"/>
    <w:rsid w:val="7283C65F"/>
    <w:rsid w:val="728DA043"/>
    <w:rsid w:val="728F9DB7"/>
    <w:rsid w:val="7296C021"/>
    <w:rsid w:val="729A3592"/>
    <w:rsid w:val="72AD1FB0"/>
    <w:rsid w:val="72B0EA25"/>
    <w:rsid w:val="72B9CE1A"/>
    <w:rsid w:val="72BEF0F0"/>
    <w:rsid w:val="72C0F9C3"/>
    <w:rsid w:val="72C2501B"/>
    <w:rsid w:val="72DCEBA0"/>
    <w:rsid w:val="72DFE5C8"/>
    <w:rsid w:val="72E23E66"/>
    <w:rsid w:val="72E90B28"/>
    <w:rsid w:val="72E9297C"/>
    <w:rsid w:val="72EC93C5"/>
    <w:rsid w:val="72EEFC23"/>
    <w:rsid w:val="72FEF1F9"/>
    <w:rsid w:val="73194D60"/>
    <w:rsid w:val="73213F49"/>
    <w:rsid w:val="732C662D"/>
    <w:rsid w:val="733B69C4"/>
    <w:rsid w:val="73433BEB"/>
    <w:rsid w:val="735E7DF1"/>
    <w:rsid w:val="736BFEB5"/>
    <w:rsid w:val="737C8D3B"/>
    <w:rsid w:val="73881ED9"/>
    <w:rsid w:val="73BA7235"/>
    <w:rsid w:val="73D0831F"/>
    <w:rsid w:val="73DE9050"/>
    <w:rsid w:val="73E05C61"/>
    <w:rsid w:val="73E43576"/>
    <w:rsid w:val="74247438"/>
    <w:rsid w:val="74322E86"/>
    <w:rsid w:val="7441E494"/>
    <w:rsid w:val="7446CDAE"/>
    <w:rsid w:val="7447C7F8"/>
    <w:rsid w:val="7461C411"/>
    <w:rsid w:val="74621320"/>
    <w:rsid w:val="74677D62"/>
    <w:rsid w:val="746E4181"/>
    <w:rsid w:val="747B4EB4"/>
    <w:rsid w:val="747E49C6"/>
    <w:rsid w:val="748418FC"/>
    <w:rsid w:val="7484B721"/>
    <w:rsid w:val="7491B03E"/>
    <w:rsid w:val="749ADF43"/>
    <w:rsid w:val="74A86F41"/>
    <w:rsid w:val="74B03E1C"/>
    <w:rsid w:val="74BAE482"/>
    <w:rsid w:val="74C700D2"/>
    <w:rsid w:val="74D105A8"/>
    <w:rsid w:val="74F10A4B"/>
    <w:rsid w:val="74F9E858"/>
    <w:rsid w:val="74FEF6B3"/>
    <w:rsid w:val="750AA756"/>
    <w:rsid w:val="750BED7D"/>
    <w:rsid w:val="750D2153"/>
    <w:rsid w:val="75173E9F"/>
    <w:rsid w:val="7525647C"/>
    <w:rsid w:val="75294E6D"/>
    <w:rsid w:val="753483CB"/>
    <w:rsid w:val="7549374C"/>
    <w:rsid w:val="754988F2"/>
    <w:rsid w:val="754EF28A"/>
    <w:rsid w:val="755D6F16"/>
    <w:rsid w:val="757023B8"/>
    <w:rsid w:val="758575A8"/>
    <w:rsid w:val="758F7AEE"/>
    <w:rsid w:val="75930563"/>
    <w:rsid w:val="7594EBEC"/>
    <w:rsid w:val="75A4D0F1"/>
    <w:rsid w:val="75AEDDA1"/>
    <w:rsid w:val="75B14052"/>
    <w:rsid w:val="75B8F319"/>
    <w:rsid w:val="75C9803F"/>
    <w:rsid w:val="75CB21CC"/>
    <w:rsid w:val="75CDD7FD"/>
    <w:rsid w:val="75CFAA0C"/>
    <w:rsid w:val="75E14B85"/>
    <w:rsid w:val="75F3D4A5"/>
    <w:rsid w:val="75FDF784"/>
    <w:rsid w:val="760B741D"/>
    <w:rsid w:val="7617B25A"/>
    <w:rsid w:val="7628BF5F"/>
    <w:rsid w:val="76402356"/>
    <w:rsid w:val="764DF9F2"/>
    <w:rsid w:val="767766FC"/>
    <w:rsid w:val="767AF232"/>
    <w:rsid w:val="7684BFC9"/>
    <w:rsid w:val="768CDB08"/>
    <w:rsid w:val="769E7DBB"/>
    <w:rsid w:val="76AF97E5"/>
    <w:rsid w:val="76B4A7E7"/>
    <w:rsid w:val="76C4F7D6"/>
    <w:rsid w:val="76D859A2"/>
    <w:rsid w:val="7701E61F"/>
    <w:rsid w:val="771393C1"/>
    <w:rsid w:val="771609D1"/>
    <w:rsid w:val="77302072"/>
    <w:rsid w:val="773FB7E0"/>
    <w:rsid w:val="7747F017"/>
    <w:rsid w:val="7748E022"/>
    <w:rsid w:val="7756A521"/>
    <w:rsid w:val="776480FB"/>
    <w:rsid w:val="776CD0C4"/>
    <w:rsid w:val="77721872"/>
    <w:rsid w:val="777B6CEE"/>
    <w:rsid w:val="77807F7D"/>
    <w:rsid w:val="77ADA7D4"/>
    <w:rsid w:val="77C35CB3"/>
    <w:rsid w:val="77C4DE55"/>
    <w:rsid w:val="77E52074"/>
    <w:rsid w:val="78079D18"/>
    <w:rsid w:val="78086C8E"/>
    <w:rsid w:val="780BD03C"/>
    <w:rsid w:val="7835C57B"/>
    <w:rsid w:val="784C1550"/>
    <w:rsid w:val="785C7264"/>
    <w:rsid w:val="787FBAE9"/>
    <w:rsid w:val="78908A42"/>
    <w:rsid w:val="789A8E92"/>
    <w:rsid w:val="78ADF8B1"/>
    <w:rsid w:val="78DE8F16"/>
    <w:rsid w:val="78DFABEB"/>
    <w:rsid w:val="78E15EED"/>
    <w:rsid w:val="78E5E238"/>
    <w:rsid w:val="78EE0F19"/>
    <w:rsid w:val="78F3FD58"/>
    <w:rsid w:val="790029AC"/>
    <w:rsid w:val="79017E82"/>
    <w:rsid w:val="7902363D"/>
    <w:rsid w:val="7926CE3A"/>
    <w:rsid w:val="7938E221"/>
    <w:rsid w:val="79462EE9"/>
    <w:rsid w:val="7948E47C"/>
    <w:rsid w:val="7952C4C2"/>
    <w:rsid w:val="795336BB"/>
    <w:rsid w:val="79590D10"/>
    <w:rsid w:val="795F09F3"/>
    <w:rsid w:val="796640D9"/>
    <w:rsid w:val="79783241"/>
    <w:rsid w:val="797F558D"/>
    <w:rsid w:val="7984A137"/>
    <w:rsid w:val="799C929B"/>
    <w:rsid w:val="79C44D4B"/>
    <w:rsid w:val="79D029D3"/>
    <w:rsid w:val="79DDB99A"/>
    <w:rsid w:val="79F2B0FC"/>
    <w:rsid w:val="7A0B910E"/>
    <w:rsid w:val="7A0D642C"/>
    <w:rsid w:val="7A39968B"/>
    <w:rsid w:val="7A4B4FF0"/>
    <w:rsid w:val="7A51BDF0"/>
    <w:rsid w:val="7A60D98B"/>
    <w:rsid w:val="7A6E127A"/>
    <w:rsid w:val="7A7D595A"/>
    <w:rsid w:val="7A977DF6"/>
    <w:rsid w:val="7A9B5BBF"/>
    <w:rsid w:val="7AAC1E49"/>
    <w:rsid w:val="7ABB6374"/>
    <w:rsid w:val="7ACD855F"/>
    <w:rsid w:val="7AEE6D2D"/>
    <w:rsid w:val="7AF6EB94"/>
    <w:rsid w:val="7B004A6D"/>
    <w:rsid w:val="7B081FE4"/>
    <w:rsid w:val="7B09F8B6"/>
    <w:rsid w:val="7B19B0FF"/>
    <w:rsid w:val="7B2463A8"/>
    <w:rsid w:val="7B24BED3"/>
    <w:rsid w:val="7B3CC893"/>
    <w:rsid w:val="7B47DF64"/>
    <w:rsid w:val="7B6D5017"/>
    <w:rsid w:val="7B7DDAFB"/>
    <w:rsid w:val="7B84C540"/>
    <w:rsid w:val="7BA0090A"/>
    <w:rsid w:val="7BC0754E"/>
    <w:rsid w:val="7BCC8959"/>
    <w:rsid w:val="7BCF4036"/>
    <w:rsid w:val="7BCF93E1"/>
    <w:rsid w:val="7BECED6D"/>
    <w:rsid w:val="7BEE6B24"/>
    <w:rsid w:val="7C0515A0"/>
    <w:rsid w:val="7C097D95"/>
    <w:rsid w:val="7C0B6992"/>
    <w:rsid w:val="7C2B2EDB"/>
    <w:rsid w:val="7C30A9A8"/>
    <w:rsid w:val="7C34E724"/>
    <w:rsid w:val="7C4AA1B5"/>
    <w:rsid w:val="7C662C0B"/>
    <w:rsid w:val="7C68C256"/>
    <w:rsid w:val="7C6971CC"/>
    <w:rsid w:val="7C6FC67D"/>
    <w:rsid w:val="7C70044B"/>
    <w:rsid w:val="7C73FE32"/>
    <w:rsid w:val="7C76A756"/>
    <w:rsid w:val="7C88BA46"/>
    <w:rsid w:val="7C924933"/>
    <w:rsid w:val="7C9C889D"/>
    <w:rsid w:val="7C9E4E71"/>
    <w:rsid w:val="7CA33BB8"/>
    <w:rsid w:val="7CB81000"/>
    <w:rsid w:val="7CBF6C7A"/>
    <w:rsid w:val="7CC90320"/>
    <w:rsid w:val="7CCC0174"/>
    <w:rsid w:val="7CCEE00C"/>
    <w:rsid w:val="7CD09043"/>
    <w:rsid w:val="7CF957F8"/>
    <w:rsid w:val="7CFA0D33"/>
    <w:rsid w:val="7CFE0C07"/>
    <w:rsid w:val="7D037159"/>
    <w:rsid w:val="7D089E10"/>
    <w:rsid w:val="7D0F8F4F"/>
    <w:rsid w:val="7D1CCC1D"/>
    <w:rsid w:val="7D41D6BB"/>
    <w:rsid w:val="7D543C43"/>
    <w:rsid w:val="7D54B889"/>
    <w:rsid w:val="7D62404D"/>
    <w:rsid w:val="7D6350A6"/>
    <w:rsid w:val="7D697371"/>
    <w:rsid w:val="7D7428AC"/>
    <w:rsid w:val="7D83858F"/>
    <w:rsid w:val="7D8DE983"/>
    <w:rsid w:val="7D9FDADD"/>
    <w:rsid w:val="7DA7A51D"/>
    <w:rsid w:val="7DA85729"/>
    <w:rsid w:val="7DAEEED8"/>
    <w:rsid w:val="7DBBEA5E"/>
    <w:rsid w:val="7DBBEBB3"/>
    <w:rsid w:val="7DC71A7A"/>
    <w:rsid w:val="7DC7D5F5"/>
    <w:rsid w:val="7DED0FD0"/>
    <w:rsid w:val="7E145941"/>
    <w:rsid w:val="7E24E8BA"/>
    <w:rsid w:val="7E256362"/>
    <w:rsid w:val="7E2809FD"/>
    <w:rsid w:val="7E3EC24E"/>
    <w:rsid w:val="7E529574"/>
    <w:rsid w:val="7E60764C"/>
    <w:rsid w:val="7E73655A"/>
    <w:rsid w:val="7E777868"/>
    <w:rsid w:val="7E8710AF"/>
    <w:rsid w:val="7E89D125"/>
    <w:rsid w:val="7E8ED7D4"/>
    <w:rsid w:val="7E961CDE"/>
    <w:rsid w:val="7E97244C"/>
    <w:rsid w:val="7EA921B6"/>
    <w:rsid w:val="7EB94817"/>
    <w:rsid w:val="7ECC7CE8"/>
    <w:rsid w:val="7ECE31BD"/>
    <w:rsid w:val="7ED26CD7"/>
    <w:rsid w:val="7ED73B98"/>
    <w:rsid w:val="7ED83C9C"/>
    <w:rsid w:val="7EE23561"/>
    <w:rsid w:val="7EF24785"/>
    <w:rsid w:val="7F0E2353"/>
    <w:rsid w:val="7F15C11C"/>
    <w:rsid w:val="7F204610"/>
    <w:rsid w:val="7F2646B6"/>
    <w:rsid w:val="7F3533A2"/>
    <w:rsid w:val="7F497342"/>
    <w:rsid w:val="7F5EED50"/>
    <w:rsid w:val="7F79CC4C"/>
    <w:rsid w:val="7F9DE502"/>
    <w:rsid w:val="7FAF9139"/>
    <w:rsid w:val="7FB48608"/>
    <w:rsid w:val="7FD50ED4"/>
    <w:rsid w:val="7FDCEE02"/>
    <w:rsid w:val="7FDEFC78"/>
    <w:rsid w:val="7FE9F675"/>
    <w:rsid w:val="7FF9BDB5"/>
    <w:rsid w:val="7FFF11C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5B970"/>
  <w15:chartTrackingRefBased/>
  <w15:docId w15:val="{231F350C-37C3-4BD9-BB6F-61EB1DC7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WA Normal"/>
    <w:qFormat/>
    <w:rsid w:val="00D252AE"/>
  </w:style>
  <w:style w:type="paragraph" w:styleId="Heading1">
    <w:name w:val="heading 1"/>
    <w:aliases w:val="2018 Review Heading 1,Numbered Heading 1"/>
    <w:basedOn w:val="Normal"/>
    <w:next w:val="Normal"/>
    <w:link w:val="Heading1Char"/>
    <w:uiPriority w:val="9"/>
    <w:qFormat/>
    <w:rsid w:val="00047BC6"/>
    <w:pPr>
      <w:keepNext/>
      <w:keepLines/>
      <w:spacing w:before="320" w:after="0" w:line="240" w:lineRule="auto"/>
      <w:outlineLvl w:val="0"/>
    </w:pPr>
    <w:rPr>
      <w:rFonts w:asciiTheme="majorHAnsi" w:eastAsiaTheme="majorEastAsia" w:hAnsiTheme="majorHAnsi" w:cstheme="majorBidi"/>
      <w:color w:val="2050BD" w:themeColor="accent1" w:themeShade="BF"/>
      <w:sz w:val="32"/>
      <w:szCs w:val="32"/>
    </w:rPr>
  </w:style>
  <w:style w:type="paragraph" w:styleId="Heading2">
    <w:name w:val="heading 2"/>
    <w:aliases w:val="2018 Review Heading 2,Numbered Heading 2"/>
    <w:basedOn w:val="Normal"/>
    <w:next w:val="Normal"/>
    <w:link w:val="Heading2Char"/>
    <w:uiPriority w:val="9"/>
    <w:unhideWhenUsed/>
    <w:qFormat/>
    <w:rsid w:val="00047BC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aliases w:val="2018 Review Heading 3"/>
    <w:basedOn w:val="Normal"/>
    <w:next w:val="Normal"/>
    <w:link w:val="Heading3Char"/>
    <w:uiPriority w:val="9"/>
    <w:unhideWhenUsed/>
    <w:qFormat/>
    <w:rsid w:val="00047BC6"/>
    <w:pPr>
      <w:keepNext/>
      <w:keepLines/>
      <w:spacing w:before="40" w:after="0" w:line="240" w:lineRule="auto"/>
      <w:outlineLvl w:val="2"/>
    </w:pPr>
    <w:rPr>
      <w:rFonts w:asciiTheme="majorHAnsi" w:eastAsiaTheme="majorEastAsia" w:hAnsiTheme="majorHAnsi" w:cstheme="majorBidi"/>
      <w:color w:val="2B0A99" w:themeColor="text2"/>
      <w:sz w:val="24"/>
      <w:szCs w:val="24"/>
    </w:rPr>
  </w:style>
  <w:style w:type="paragraph" w:styleId="Heading4">
    <w:name w:val="heading 4"/>
    <w:aliases w:val="2018 Review Heading 4"/>
    <w:basedOn w:val="Normal"/>
    <w:next w:val="Normal"/>
    <w:link w:val="Heading4Char"/>
    <w:uiPriority w:val="9"/>
    <w:unhideWhenUsed/>
    <w:qFormat/>
    <w:rsid w:val="00047BC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047BC6"/>
    <w:pPr>
      <w:keepNext/>
      <w:keepLines/>
      <w:spacing w:before="40" w:after="0"/>
      <w:outlineLvl w:val="4"/>
    </w:pPr>
    <w:rPr>
      <w:rFonts w:asciiTheme="majorHAnsi" w:eastAsiaTheme="majorEastAsia" w:hAnsiTheme="majorHAnsi" w:cstheme="majorBidi"/>
      <w:color w:val="2B0A99" w:themeColor="text2"/>
      <w:sz w:val="22"/>
      <w:szCs w:val="22"/>
    </w:rPr>
  </w:style>
  <w:style w:type="paragraph" w:styleId="Heading6">
    <w:name w:val="heading 6"/>
    <w:basedOn w:val="Normal"/>
    <w:next w:val="Normal"/>
    <w:link w:val="Heading6Char"/>
    <w:uiPriority w:val="9"/>
    <w:unhideWhenUsed/>
    <w:qFormat/>
    <w:rsid w:val="00047BC6"/>
    <w:pPr>
      <w:keepNext/>
      <w:keepLines/>
      <w:spacing w:before="40" w:after="0"/>
      <w:outlineLvl w:val="5"/>
    </w:pPr>
    <w:rPr>
      <w:rFonts w:asciiTheme="majorHAnsi" w:eastAsiaTheme="majorEastAsia" w:hAnsiTheme="majorHAnsi" w:cstheme="majorBidi"/>
      <w:i/>
      <w:iCs/>
      <w:color w:val="2B0A99" w:themeColor="text2"/>
      <w:sz w:val="21"/>
      <w:szCs w:val="21"/>
    </w:rPr>
  </w:style>
  <w:style w:type="paragraph" w:styleId="Heading7">
    <w:name w:val="heading 7"/>
    <w:basedOn w:val="Normal"/>
    <w:next w:val="Normal"/>
    <w:link w:val="Heading7Char"/>
    <w:uiPriority w:val="9"/>
    <w:unhideWhenUsed/>
    <w:qFormat/>
    <w:rsid w:val="00047BC6"/>
    <w:pPr>
      <w:keepNext/>
      <w:keepLines/>
      <w:spacing w:before="40" w:after="0"/>
      <w:outlineLvl w:val="6"/>
    </w:pPr>
    <w:rPr>
      <w:rFonts w:asciiTheme="majorHAnsi" w:eastAsiaTheme="majorEastAsia" w:hAnsiTheme="majorHAnsi" w:cstheme="majorBidi"/>
      <w:i/>
      <w:iCs/>
      <w:color w:val="15357E" w:themeColor="accent1" w:themeShade="80"/>
      <w:sz w:val="21"/>
      <w:szCs w:val="21"/>
    </w:rPr>
  </w:style>
  <w:style w:type="paragraph" w:styleId="Heading8">
    <w:name w:val="heading 8"/>
    <w:basedOn w:val="Normal"/>
    <w:next w:val="Normal"/>
    <w:link w:val="Heading8Char"/>
    <w:uiPriority w:val="9"/>
    <w:semiHidden/>
    <w:unhideWhenUsed/>
    <w:qFormat/>
    <w:rsid w:val="00047BC6"/>
    <w:pPr>
      <w:keepNext/>
      <w:keepLines/>
      <w:spacing w:before="40" w:after="0"/>
      <w:outlineLvl w:val="7"/>
    </w:pPr>
    <w:rPr>
      <w:rFonts w:asciiTheme="majorHAnsi" w:eastAsiaTheme="majorEastAsia" w:hAnsiTheme="majorHAnsi" w:cstheme="majorBidi"/>
      <w:b/>
      <w:bCs/>
      <w:color w:val="2B0A99" w:themeColor="text2"/>
    </w:rPr>
  </w:style>
  <w:style w:type="paragraph" w:styleId="Heading9">
    <w:name w:val="heading 9"/>
    <w:basedOn w:val="Normal"/>
    <w:next w:val="Normal"/>
    <w:link w:val="Heading9Char"/>
    <w:uiPriority w:val="9"/>
    <w:semiHidden/>
    <w:unhideWhenUsed/>
    <w:qFormat/>
    <w:rsid w:val="00047BC6"/>
    <w:pPr>
      <w:keepNext/>
      <w:keepLines/>
      <w:spacing w:before="40" w:after="0"/>
      <w:outlineLvl w:val="8"/>
    </w:pPr>
    <w:rPr>
      <w:rFonts w:asciiTheme="majorHAnsi" w:eastAsiaTheme="majorEastAsia" w:hAnsiTheme="majorHAnsi" w:cstheme="majorBidi"/>
      <w:b/>
      <w:bCs/>
      <w:i/>
      <w:iCs/>
      <w:color w:val="2B0A99"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2018 Review Heading 1 Char,Numbered Heading 1 Char"/>
    <w:basedOn w:val="DefaultParagraphFont"/>
    <w:link w:val="Heading1"/>
    <w:uiPriority w:val="9"/>
    <w:rsid w:val="00047BC6"/>
    <w:rPr>
      <w:rFonts w:asciiTheme="majorHAnsi" w:eastAsiaTheme="majorEastAsia" w:hAnsiTheme="majorHAnsi" w:cstheme="majorBidi"/>
      <w:color w:val="2050BD" w:themeColor="accent1" w:themeShade="BF"/>
      <w:sz w:val="32"/>
      <w:szCs w:val="32"/>
    </w:rPr>
  </w:style>
  <w:style w:type="character" w:customStyle="1" w:styleId="Heading2Char">
    <w:name w:val="Heading 2 Char"/>
    <w:aliases w:val="2018 Review Heading 2 Char,Numbered Heading 2 Char"/>
    <w:basedOn w:val="DefaultParagraphFont"/>
    <w:link w:val="Heading2"/>
    <w:uiPriority w:val="9"/>
    <w:rsid w:val="00047BC6"/>
    <w:rPr>
      <w:rFonts w:asciiTheme="majorHAnsi" w:eastAsiaTheme="majorEastAsia" w:hAnsiTheme="majorHAnsi" w:cstheme="majorBidi"/>
      <w:color w:val="404040" w:themeColor="text1" w:themeTint="BF"/>
      <w:sz w:val="28"/>
      <w:szCs w:val="28"/>
    </w:rPr>
  </w:style>
  <w:style w:type="character" w:customStyle="1" w:styleId="Heading3Char">
    <w:name w:val="Heading 3 Char"/>
    <w:aliases w:val="2018 Review Heading 3 Char"/>
    <w:basedOn w:val="DefaultParagraphFont"/>
    <w:link w:val="Heading3"/>
    <w:uiPriority w:val="9"/>
    <w:rsid w:val="00047BC6"/>
    <w:rPr>
      <w:rFonts w:asciiTheme="majorHAnsi" w:eastAsiaTheme="majorEastAsia" w:hAnsiTheme="majorHAnsi" w:cstheme="majorBidi"/>
      <w:color w:val="2B0A99" w:themeColor="text2"/>
      <w:sz w:val="24"/>
      <w:szCs w:val="24"/>
    </w:rPr>
  </w:style>
  <w:style w:type="character" w:customStyle="1" w:styleId="Heading4Char">
    <w:name w:val="Heading 4 Char"/>
    <w:aliases w:val="2018 Review Heading 4 Char"/>
    <w:basedOn w:val="DefaultParagraphFont"/>
    <w:link w:val="Heading4"/>
    <w:uiPriority w:val="9"/>
    <w:rsid w:val="00047BC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047BC6"/>
    <w:rPr>
      <w:rFonts w:asciiTheme="majorHAnsi" w:eastAsiaTheme="majorEastAsia" w:hAnsiTheme="majorHAnsi" w:cstheme="majorBidi"/>
      <w:color w:val="2B0A99" w:themeColor="text2"/>
      <w:sz w:val="22"/>
      <w:szCs w:val="22"/>
    </w:rPr>
  </w:style>
  <w:style w:type="character" w:customStyle="1" w:styleId="Heading6Char">
    <w:name w:val="Heading 6 Char"/>
    <w:basedOn w:val="DefaultParagraphFont"/>
    <w:link w:val="Heading6"/>
    <w:uiPriority w:val="9"/>
    <w:rsid w:val="00047BC6"/>
    <w:rPr>
      <w:rFonts w:asciiTheme="majorHAnsi" w:eastAsiaTheme="majorEastAsia" w:hAnsiTheme="majorHAnsi" w:cstheme="majorBidi"/>
      <w:i/>
      <w:iCs/>
      <w:color w:val="2B0A99" w:themeColor="text2"/>
      <w:sz w:val="21"/>
      <w:szCs w:val="21"/>
    </w:rPr>
  </w:style>
  <w:style w:type="character" w:customStyle="1" w:styleId="Heading7Char">
    <w:name w:val="Heading 7 Char"/>
    <w:basedOn w:val="DefaultParagraphFont"/>
    <w:link w:val="Heading7"/>
    <w:uiPriority w:val="9"/>
    <w:rsid w:val="00047BC6"/>
    <w:rPr>
      <w:rFonts w:asciiTheme="majorHAnsi" w:eastAsiaTheme="majorEastAsia" w:hAnsiTheme="majorHAnsi" w:cstheme="majorBidi"/>
      <w:i/>
      <w:iCs/>
      <w:color w:val="15357E" w:themeColor="accent1" w:themeShade="80"/>
      <w:sz w:val="21"/>
      <w:szCs w:val="21"/>
    </w:rPr>
  </w:style>
  <w:style w:type="paragraph" w:styleId="Title">
    <w:name w:val="Title"/>
    <w:aliases w:val="2018 Review Title"/>
    <w:basedOn w:val="Normal"/>
    <w:next w:val="Normal"/>
    <w:link w:val="TitleChar"/>
    <w:uiPriority w:val="10"/>
    <w:qFormat/>
    <w:rsid w:val="00047BC6"/>
    <w:pPr>
      <w:spacing w:after="0" w:line="240" w:lineRule="auto"/>
      <w:contextualSpacing/>
    </w:pPr>
    <w:rPr>
      <w:rFonts w:asciiTheme="majorHAnsi" w:eastAsiaTheme="majorEastAsia" w:hAnsiTheme="majorHAnsi" w:cstheme="majorBidi"/>
      <w:color w:val="4877E0" w:themeColor="accent1"/>
      <w:spacing w:val="-10"/>
      <w:sz w:val="56"/>
      <w:szCs w:val="56"/>
    </w:rPr>
  </w:style>
  <w:style w:type="character" w:customStyle="1" w:styleId="TitleChar">
    <w:name w:val="Title Char"/>
    <w:aliases w:val="2018 Review Title Char"/>
    <w:basedOn w:val="DefaultParagraphFont"/>
    <w:link w:val="Title"/>
    <w:uiPriority w:val="10"/>
    <w:rsid w:val="00047BC6"/>
    <w:rPr>
      <w:rFonts w:asciiTheme="majorHAnsi" w:eastAsiaTheme="majorEastAsia" w:hAnsiTheme="majorHAnsi" w:cstheme="majorBidi"/>
      <w:color w:val="4877E0" w:themeColor="accent1"/>
      <w:spacing w:val="-10"/>
      <w:sz w:val="56"/>
      <w:szCs w:val="56"/>
    </w:rPr>
  </w:style>
  <w:style w:type="character" w:styleId="Strong">
    <w:name w:val="Strong"/>
    <w:aliases w:val="2018 Review Strong"/>
    <w:basedOn w:val="DefaultParagraphFont"/>
    <w:uiPriority w:val="22"/>
    <w:qFormat/>
    <w:rsid w:val="00047BC6"/>
    <w:rPr>
      <w:b/>
      <w:bCs/>
    </w:rPr>
  </w:style>
  <w:style w:type="paragraph" w:styleId="ListParagraph">
    <w:name w:val="List Paragraph"/>
    <w:aliases w:val="SWA List Paragraph,Indent,Bullet,Recommendation,List Paragraph1,standard lewis,List Paragraph11,List Paragraph2,Bulit List -  Paragraph,Main numbered paragraph,Numbered List Paragraph,Heading2,Use Case List Paragraph,Heading3,L"/>
    <w:basedOn w:val="Normal"/>
    <w:link w:val="ListParagraphChar"/>
    <w:uiPriority w:val="34"/>
    <w:qFormat/>
    <w:rsid w:val="006371F4"/>
    <w:pPr>
      <w:ind w:left="720"/>
      <w:contextualSpacing/>
    </w:pPr>
  </w:style>
  <w:style w:type="character" w:styleId="Emphasis">
    <w:name w:val="Emphasis"/>
    <w:aliases w:val="2018 Review Emphasis"/>
    <w:basedOn w:val="DefaultParagraphFont"/>
    <w:uiPriority w:val="20"/>
    <w:qFormat/>
    <w:rsid w:val="00047BC6"/>
    <w:rPr>
      <w:i/>
      <w:iCs/>
    </w:rPr>
  </w:style>
  <w:style w:type="character" w:styleId="Hyperlink">
    <w:name w:val="Hyperlink"/>
    <w:basedOn w:val="DefaultParagraphFont"/>
    <w:uiPriority w:val="99"/>
    <w:rsid w:val="00CC29B5"/>
    <w:rPr>
      <w:color w:val="4877E0" w:themeColor="accent1"/>
      <w:u w:val="single"/>
    </w:rPr>
  </w:style>
  <w:style w:type="paragraph" w:customStyle="1" w:styleId="SWALink">
    <w:name w:val="SWA Link"/>
    <w:basedOn w:val="Normal"/>
    <w:link w:val="SWALinkChar"/>
    <w:rsid w:val="00200539"/>
    <w:rPr>
      <w:u w:val="single"/>
    </w:rPr>
  </w:style>
  <w:style w:type="character" w:customStyle="1" w:styleId="SWALinkChar">
    <w:name w:val="SWA Link Char"/>
    <w:basedOn w:val="DefaultParagraphFont"/>
    <w:link w:val="SWALink"/>
    <w:rsid w:val="00200539"/>
    <w:rPr>
      <w:rFonts w:ascii="Arial" w:eastAsia="Times New Roman" w:hAnsi="Arial" w:cs="Times New Roman"/>
      <w:sz w:val="20"/>
      <w:szCs w:val="24"/>
      <w:u w:val="single"/>
      <w:lang w:eastAsia="en-AU"/>
    </w:rPr>
  </w:style>
  <w:style w:type="character" w:styleId="SubtleEmphasis">
    <w:name w:val="Subtle Emphasis"/>
    <w:aliases w:val="2018 Review Subtle Emphasis"/>
    <w:basedOn w:val="DefaultParagraphFont"/>
    <w:uiPriority w:val="19"/>
    <w:qFormat/>
    <w:rsid w:val="00047BC6"/>
    <w:rPr>
      <w:i/>
      <w:iCs/>
      <w:color w:val="404040" w:themeColor="text1" w:themeTint="BF"/>
    </w:rPr>
  </w:style>
  <w:style w:type="paragraph" w:styleId="Header">
    <w:name w:val="header"/>
    <w:basedOn w:val="Normal"/>
    <w:link w:val="HeaderChar"/>
    <w:uiPriority w:val="99"/>
    <w:rsid w:val="006371F4"/>
    <w:pPr>
      <w:tabs>
        <w:tab w:val="center" w:pos="4513"/>
        <w:tab w:val="right" w:pos="9026"/>
      </w:tabs>
      <w:spacing w:after="0"/>
    </w:pPr>
  </w:style>
  <w:style w:type="character" w:customStyle="1" w:styleId="HeaderChar">
    <w:name w:val="Header Char"/>
    <w:basedOn w:val="DefaultParagraphFont"/>
    <w:link w:val="Header"/>
    <w:uiPriority w:val="99"/>
    <w:rsid w:val="006371F4"/>
    <w:rPr>
      <w:rFonts w:ascii="Arial" w:hAnsi="Arial"/>
      <w:szCs w:val="24"/>
    </w:rPr>
  </w:style>
  <w:style w:type="paragraph" w:styleId="Footer">
    <w:name w:val="footer"/>
    <w:basedOn w:val="Normal"/>
    <w:link w:val="FooterChar"/>
    <w:uiPriority w:val="99"/>
    <w:rsid w:val="006371F4"/>
    <w:pPr>
      <w:tabs>
        <w:tab w:val="center" w:pos="4513"/>
        <w:tab w:val="right" w:pos="9026"/>
      </w:tabs>
      <w:spacing w:after="0"/>
    </w:pPr>
    <w:rPr>
      <w:sz w:val="16"/>
    </w:rPr>
  </w:style>
  <w:style w:type="character" w:customStyle="1" w:styleId="FooterChar">
    <w:name w:val="Footer Char"/>
    <w:basedOn w:val="DefaultParagraphFont"/>
    <w:link w:val="Footer"/>
    <w:uiPriority w:val="99"/>
    <w:rsid w:val="006371F4"/>
    <w:rPr>
      <w:rFonts w:ascii="Arial" w:hAnsi="Arial"/>
      <w:sz w:val="16"/>
      <w:szCs w:val="24"/>
    </w:rPr>
  </w:style>
  <w:style w:type="paragraph" w:styleId="BalloonText">
    <w:name w:val="Balloon Text"/>
    <w:basedOn w:val="Normal"/>
    <w:link w:val="BalloonTextChar"/>
    <w:uiPriority w:val="99"/>
    <w:semiHidden/>
    <w:unhideWhenUsed/>
    <w:rsid w:val="00200539"/>
    <w:rPr>
      <w:rFonts w:ascii="Tahoma" w:hAnsi="Tahoma" w:cs="Tahoma"/>
      <w:sz w:val="16"/>
      <w:szCs w:val="16"/>
    </w:rPr>
  </w:style>
  <w:style w:type="character" w:customStyle="1" w:styleId="BalloonTextChar">
    <w:name w:val="Balloon Text Char"/>
    <w:basedOn w:val="DefaultParagraphFont"/>
    <w:link w:val="BalloonText"/>
    <w:uiPriority w:val="99"/>
    <w:semiHidden/>
    <w:rsid w:val="00200539"/>
    <w:rPr>
      <w:rFonts w:ascii="Tahoma" w:eastAsia="Times New Roman" w:hAnsi="Tahoma" w:cs="Tahoma"/>
      <w:sz w:val="16"/>
      <w:szCs w:val="16"/>
      <w:lang w:eastAsia="en-AU"/>
    </w:rPr>
  </w:style>
  <w:style w:type="paragraph" w:customStyle="1" w:styleId="BasicParagraph">
    <w:name w:val="[Basic Paragraph]"/>
    <w:basedOn w:val="Normal"/>
    <w:link w:val="BasicParagraphChar"/>
    <w:uiPriority w:val="99"/>
    <w:rsid w:val="00200539"/>
    <w:pPr>
      <w:autoSpaceDE w:val="0"/>
      <w:autoSpaceDN w:val="0"/>
      <w:adjustRightInd w:val="0"/>
      <w:spacing w:line="288" w:lineRule="auto"/>
      <w:textAlignment w:val="center"/>
    </w:pPr>
    <w:rPr>
      <w:rFonts w:ascii="MinionPro-Regular" w:hAnsi="MinionPro-Regular" w:cs="MinionPro-Regular"/>
      <w:color w:val="000000"/>
      <w:sz w:val="24"/>
      <w:lang w:val="en-GB"/>
    </w:rPr>
  </w:style>
  <w:style w:type="paragraph" w:customStyle="1" w:styleId="2018ReviewCoverHeader">
    <w:name w:val="2018 Review Cover Header"/>
    <w:basedOn w:val="Title"/>
    <w:link w:val="2018ReviewCoverHeaderChar"/>
    <w:rsid w:val="00200539"/>
    <w:pPr>
      <w:spacing w:before="3000" w:after="480"/>
    </w:pPr>
    <w:rPr>
      <w:color w:val="2B0A99" w:themeColor="text2"/>
      <w:sz w:val="96"/>
      <w:szCs w:val="96"/>
    </w:rPr>
  </w:style>
  <w:style w:type="character" w:customStyle="1" w:styleId="2018ReviewCoverHeaderChar">
    <w:name w:val="2018 Review Cover Header Char"/>
    <w:basedOn w:val="TitleChar"/>
    <w:link w:val="2018ReviewCoverHeader"/>
    <w:rsid w:val="00200539"/>
    <w:rPr>
      <w:rFonts w:ascii="Arial Bold" w:eastAsiaTheme="majorEastAsia" w:hAnsi="Arial Bold" w:cs="Arial"/>
      <w:b w:val="0"/>
      <w:bCs w:val="0"/>
      <w:color w:val="2B0A99" w:themeColor="text2"/>
      <w:spacing w:val="-10"/>
      <w:kern w:val="28"/>
      <w:sz w:val="96"/>
      <w:szCs w:val="96"/>
    </w:rPr>
  </w:style>
  <w:style w:type="paragraph" w:customStyle="1" w:styleId="Normaltwocolumn">
    <w:name w:val="Normal two column"/>
    <w:basedOn w:val="Normal"/>
    <w:link w:val="NormaltwocolumnChar"/>
    <w:rsid w:val="00200539"/>
  </w:style>
  <w:style w:type="paragraph" w:customStyle="1" w:styleId="2018ReviewCoverSubhead1">
    <w:name w:val="2018 Review Cover Sub head 1"/>
    <w:basedOn w:val="BasicParagraph"/>
    <w:link w:val="2018ReviewCoverSubhead1Char"/>
    <w:rsid w:val="00200539"/>
    <w:rPr>
      <w:rFonts w:ascii="Arial" w:hAnsi="Arial" w:cs="Arial"/>
      <w:b/>
      <w:bCs/>
      <w:i/>
      <w:iCs/>
      <w:color w:val="FFFFFF" w:themeColor="background1"/>
      <w:spacing w:val="9"/>
      <w:sz w:val="40"/>
      <w:szCs w:val="43"/>
    </w:rPr>
  </w:style>
  <w:style w:type="character" w:customStyle="1" w:styleId="NormaltwocolumnChar">
    <w:name w:val="Normal two column Char"/>
    <w:basedOn w:val="DefaultParagraphFont"/>
    <w:link w:val="Normaltwocolumn"/>
    <w:rsid w:val="00200539"/>
    <w:rPr>
      <w:rFonts w:ascii="Arial" w:eastAsia="Times New Roman" w:hAnsi="Arial" w:cs="Times New Roman"/>
      <w:sz w:val="20"/>
      <w:szCs w:val="24"/>
      <w:lang w:eastAsia="en-AU"/>
    </w:rPr>
  </w:style>
  <w:style w:type="paragraph" w:customStyle="1" w:styleId="2018ReviewCovernames">
    <w:name w:val="2018 Review Cover names"/>
    <w:basedOn w:val="BasicParagraph"/>
    <w:link w:val="2018ReviewCovernamesChar"/>
    <w:rsid w:val="00200539"/>
    <w:pPr>
      <w:spacing w:before="1200"/>
    </w:pPr>
    <w:rPr>
      <w:rFonts w:ascii="Arial" w:hAnsi="Arial" w:cs="Arial"/>
      <w:i/>
      <w:iCs/>
      <w:color w:val="5E5E5D"/>
      <w:spacing w:val="9"/>
      <w:sz w:val="43"/>
      <w:szCs w:val="43"/>
    </w:rPr>
  </w:style>
  <w:style w:type="character" w:customStyle="1" w:styleId="BasicParagraphChar">
    <w:name w:val="[Basic Paragraph] Char"/>
    <w:basedOn w:val="DefaultParagraphFont"/>
    <w:link w:val="BasicParagraph"/>
    <w:uiPriority w:val="99"/>
    <w:rsid w:val="00200539"/>
    <w:rPr>
      <w:rFonts w:ascii="MinionPro-Regular" w:hAnsi="MinionPro-Regular" w:cs="MinionPro-Regular"/>
      <w:color w:val="000000"/>
      <w:sz w:val="24"/>
      <w:szCs w:val="24"/>
      <w:lang w:val="en-GB"/>
    </w:rPr>
  </w:style>
  <w:style w:type="character" w:customStyle="1" w:styleId="2018ReviewCoverSubhead1Char">
    <w:name w:val="2018 Review Cover Sub head 1 Char"/>
    <w:basedOn w:val="BasicParagraphChar"/>
    <w:link w:val="2018ReviewCoverSubhead1"/>
    <w:rsid w:val="00200539"/>
    <w:rPr>
      <w:rFonts w:ascii="Arial" w:hAnsi="Arial" w:cs="Arial"/>
      <w:b/>
      <w:bCs/>
      <w:i/>
      <w:iCs/>
      <w:color w:val="FFFFFF" w:themeColor="background1"/>
      <w:spacing w:val="9"/>
      <w:sz w:val="40"/>
      <w:szCs w:val="43"/>
      <w:lang w:val="en-GB"/>
    </w:rPr>
  </w:style>
  <w:style w:type="paragraph" w:customStyle="1" w:styleId="2018ReviewCoverintroparagraph">
    <w:name w:val="2018 Review Cover intro paragraph"/>
    <w:basedOn w:val="BasicParagraph"/>
    <w:link w:val="2018ReviewCoverintroparagraphChar"/>
    <w:rsid w:val="00200539"/>
    <w:pPr>
      <w:suppressAutoHyphens/>
    </w:pPr>
    <w:rPr>
      <w:rFonts w:ascii="Arial" w:hAnsi="Arial" w:cs="Arial"/>
      <w:color w:val="145B85"/>
      <w:sz w:val="30"/>
      <w:szCs w:val="30"/>
    </w:rPr>
  </w:style>
  <w:style w:type="character" w:customStyle="1" w:styleId="2018ReviewCovernamesChar">
    <w:name w:val="2018 Review Cover names Char"/>
    <w:basedOn w:val="BasicParagraphChar"/>
    <w:link w:val="2018ReviewCovernames"/>
    <w:rsid w:val="00200539"/>
    <w:rPr>
      <w:rFonts w:ascii="Arial" w:hAnsi="Arial" w:cs="Arial"/>
      <w:i/>
      <w:iCs/>
      <w:color w:val="5E5E5D"/>
      <w:spacing w:val="9"/>
      <w:sz w:val="43"/>
      <w:szCs w:val="43"/>
      <w:lang w:val="en-GB"/>
    </w:rPr>
  </w:style>
  <w:style w:type="character" w:customStyle="1" w:styleId="2018ReviewCoverintroparagraphChar">
    <w:name w:val="2018 Review Cover intro paragraph Char"/>
    <w:basedOn w:val="BasicParagraphChar"/>
    <w:link w:val="2018ReviewCoverintroparagraph"/>
    <w:rsid w:val="00200539"/>
    <w:rPr>
      <w:rFonts w:ascii="Arial" w:hAnsi="Arial" w:cs="Arial"/>
      <w:color w:val="145B85"/>
      <w:sz w:val="30"/>
      <w:szCs w:val="30"/>
      <w:lang w:val="en-GB"/>
    </w:rPr>
  </w:style>
  <w:style w:type="table" w:styleId="LightList">
    <w:name w:val="Light List"/>
    <w:basedOn w:val="TableNormal"/>
    <w:uiPriority w:val="61"/>
    <w:rsid w:val="00200539"/>
    <w:pPr>
      <w:spacing w:after="0" w:line="240" w:lineRule="auto"/>
    </w:pPr>
    <w:rPr>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39"/>
    <w:rsid w:val="00637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aliases w:val="SWA Table Style"/>
    <w:basedOn w:val="TableNormal"/>
    <w:uiPriority w:val="60"/>
    <w:rsid w:val="006371F4"/>
    <w:pPr>
      <w:spacing w:before="80" w:after="80" w:line="240" w:lineRule="auto"/>
    </w:pPr>
    <w:rPr>
      <w:rFonts w:ascii="Arial" w:hAnsi="Arial"/>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4877E0" w:themeFill="accent1"/>
      </w:tcPr>
    </w:tblStylePr>
    <w:tblStylePr w:type="lastRow">
      <w:pPr>
        <w:wordWrap/>
        <w:spacing w:beforeLines="0" w:before="80" w:beforeAutospacing="0" w:afterLines="0" w:after="80" w:afterAutospacing="0" w:line="240" w:lineRule="auto"/>
      </w:pPr>
      <w:rPr>
        <w:rFonts w:ascii="Tahoma" w:hAnsi="Tahoma"/>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Vert">
      <w:tblPr/>
      <w:tcPr>
        <w:tcBorders>
          <w:left w:val="nil"/>
          <w:right w:val="nil"/>
          <w:insideH w:val="nil"/>
          <w:insideV w:val="nil"/>
        </w:tcBorders>
        <w:shd w:val="clear" w:color="auto" w:fill="FAE6CE" w:themeFill="accent2" w:themeFillTint="3F"/>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table" w:styleId="LightList-Accent2">
    <w:name w:val="Light List Accent 2"/>
    <w:basedOn w:val="TableNormal"/>
    <w:uiPriority w:val="61"/>
    <w:rsid w:val="00200539"/>
    <w:pPr>
      <w:spacing w:after="0" w:line="240" w:lineRule="auto"/>
    </w:pPr>
    <w:tblPr>
      <w:tblStyleRowBandSize w:val="1"/>
      <w:tblStyleColBandSize w:val="1"/>
      <w:tblBorders>
        <w:top w:val="single" w:sz="8" w:space="0" w:color="EB9C3A" w:themeColor="accent2"/>
        <w:left w:val="single" w:sz="8" w:space="0" w:color="EB9C3A" w:themeColor="accent2"/>
        <w:bottom w:val="single" w:sz="8" w:space="0" w:color="EB9C3A" w:themeColor="accent2"/>
        <w:right w:val="single" w:sz="8" w:space="0" w:color="EB9C3A" w:themeColor="accent2"/>
      </w:tblBorders>
    </w:tblPr>
    <w:tblStylePr w:type="firstRow">
      <w:pPr>
        <w:spacing w:before="0" w:after="0" w:line="240" w:lineRule="auto"/>
      </w:pPr>
      <w:rPr>
        <w:b/>
        <w:bCs/>
        <w:color w:val="FFFFFF" w:themeColor="background1"/>
      </w:rPr>
      <w:tblPr/>
      <w:tcPr>
        <w:shd w:val="clear" w:color="auto" w:fill="EB9C3A" w:themeFill="accent2"/>
      </w:tcPr>
    </w:tblStylePr>
    <w:tblStylePr w:type="lastRow">
      <w:pPr>
        <w:spacing w:before="0" w:after="0" w:line="240" w:lineRule="auto"/>
      </w:pPr>
      <w:rPr>
        <w:b/>
        <w:bCs/>
      </w:rPr>
      <w:tblPr/>
      <w:tcPr>
        <w:tcBorders>
          <w:top w:val="double" w:sz="6" w:space="0" w:color="EB9C3A" w:themeColor="accent2"/>
          <w:left w:val="single" w:sz="8" w:space="0" w:color="EB9C3A" w:themeColor="accent2"/>
          <w:bottom w:val="single" w:sz="8" w:space="0" w:color="EB9C3A" w:themeColor="accent2"/>
          <w:right w:val="single" w:sz="8" w:space="0" w:color="EB9C3A" w:themeColor="accent2"/>
        </w:tcBorders>
      </w:tcPr>
    </w:tblStylePr>
    <w:tblStylePr w:type="firstCol">
      <w:rPr>
        <w:b/>
        <w:bCs/>
      </w:rPr>
    </w:tblStylePr>
    <w:tblStylePr w:type="lastCol">
      <w:rPr>
        <w:b/>
        <w:bCs/>
      </w:rPr>
    </w:tblStylePr>
    <w:tblStylePr w:type="band1Vert">
      <w:tblPr/>
      <w:tcPr>
        <w:tcBorders>
          <w:top w:val="single" w:sz="8" w:space="0" w:color="EB9C3A" w:themeColor="accent2"/>
          <w:left w:val="single" w:sz="8" w:space="0" w:color="EB9C3A" w:themeColor="accent2"/>
          <w:bottom w:val="single" w:sz="8" w:space="0" w:color="EB9C3A" w:themeColor="accent2"/>
          <w:right w:val="single" w:sz="8" w:space="0" w:color="EB9C3A" w:themeColor="accent2"/>
        </w:tcBorders>
      </w:tcPr>
    </w:tblStylePr>
    <w:tblStylePr w:type="band1Horz">
      <w:tblPr/>
      <w:tcPr>
        <w:tcBorders>
          <w:top w:val="single" w:sz="8" w:space="0" w:color="EB9C3A" w:themeColor="accent2"/>
          <w:left w:val="single" w:sz="8" w:space="0" w:color="EB9C3A" w:themeColor="accent2"/>
          <w:bottom w:val="single" w:sz="8" w:space="0" w:color="EB9C3A" w:themeColor="accent2"/>
          <w:right w:val="single" w:sz="8" w:space="0" w:color="EB9C3A" w:themeColor="accent2"/>
        </w:tcBorders>
      </w:tcPr>
    </w:tblStylePr>
  </w:style>
  <w:style w:type="paragraph" w:customStyle="1" w:styleId="2018ReviewFeaturetext">
    <w:name w:val="2018 Review Feature text"/>
    <w:basedOn w:val="Normal"/>
    <w:link w:val="2018ReviewFeaturetextChar"/>
    <w:rsid w:val="00200539"/>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pPr>
  </w:style>
  <w:style w:type="paragraph" w:customStyle="1" w:styleId="FeaturePageHeading">
    <w:name w:val="Feature Page Heading"/>
    <w:basedOn w:val="Heading1"/>
    <w:link w:val="FeaturePageHeadingChar"/>
    <w:rsid w:val="00200539"/>
    <w:pPr>
      <w:shd w:val="clear" w:color="auto" w:fill="F2F2F2" w:themeFill="background1" w:themeFillShade="F2"/>
    </w:pPr>
  </w:style>
  <w:style w:type="character" w:customStyle="1" w:styleId="2018ReviewFeaturetextChar">
    <w:name w:val="2018 Review Feature text Char"/>
    <w:basedOn w:val="DefaultParagraphFont"/>
    <w:link w:val="2018ReviewFeaturetext"/>
    <w:rsid w:val="00200539"/>
    <w:rPr>
      <w:rFonts w:ascii="Arial" w:eastAsia="Times New Roman" w:hAnsi="Arial" w:cs="Times New Roman"/>
      <w:sz w:val="20"/>
      <w:szCs w:val="24"/>
      <w:shd w:val="clear" w:color="auto" w:fill="F2F2F2" w:themeFill="background1" w:themeFillShade="F2"/>
      <w:lang w:eastAsia="en-AU"/>
    </w:rPr>
  </w:style>
  <w:style w:type="paragraph" w:customStyle="1" w:styleId="FeatureHeading">
    <w:name w:val="Feature Heading"/>
    <w:basedOn w:val="2018ReviewFeaturetext"/>
    <w:link w:val="FeatureHeadingChar"/>
    <w:rsid w:val="00200539"/>
    <w:rPr>
      <w:b/>
      <w:color w:val="145B85"/>
      <w:sz w:val="28"/>
      <w:szCs w:val="28"/>
    </w:rPr>
  </w:style>
  <w:style w:type="character" w:customStyle="1" w:styleId="FeaturePageHeadingChar">
    <w:name w:val="Feature Page Heading Char"/>
    <w:basedOn w:val="Heading1Char"/>
    <w:link w:val="FeaturePageHeading"/>
    <w:rsid w:val="00200539"/>
    <w:rPr>
      <w:rFonts w:ascii="Arial" w:eastAsiaTheme="majorEastAsia" w:hAnsi="Arial" w:cs="Arial"/>
      <w:b w:val="0"/>
      <w:bCs w:val="0"/>
      <w:color w:val="2050BD" w:themeColor="accent1" w:themeShade="BF"/>
      <w:sz w:val="36"/>
      <w:szCs w:val="36"/>
      <w:shd w:val="clear" w:color="auto" w:fill="F2F2F2" w:themeFill="background1" w:themeFillShade="F2"/>
    </w:rPr>
  </w:style>
  <w:style w:type="character" w:customStyle="1" w:styleId="FeatureHeadingChar">
    <w:name w:val="Feature Heading Char"/>
    <w:basedOn w:val="2018ReviewFeaturetextChar"/>
    <w:link w:val="FeatureHeading"/>
    <w:rsid w:val="00200539"/>
    <w:rPr>
      <w:rFonts w:ascii="Arial" w:eastAsia="Times New Roman" w:hAnsi="Arial" w:cs="Times New Roman"/>
      <w:b/>
      <w:color w:val="145B85"/>
      <w:sz w:val="28"/>
      <w:szCs w:val="28"/>
      <w:shd w:val="clear" w:color="auto" w:fill="F2F2F2" w:themeFill="background1" w:themeFillShade="F2"/>
      <w:lang w:eastAsia="en-AU"/>
    </w:rPr>
  </w:style>
  <w:style w:type="paragraph" w:customStyle="1" w:styleId="2018ReviewFeaturepagetitle">
    <w:name w:val="2018 Review Feature page title"/>
    <w:basedOn w:val="Heading1"/>
    <w:link w:val="2018ReviewFeaturepagetitleChar"/>
    <w:rsid w:val="00200539"/>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pPr>
    <w:rPr>
      <w:color w:val="145B85"/>
    </w:rPr>
  </w:style>
  <w:style w:type="character" w:customStyle="1" w:styleId="2018ReviewFeaturepagetitleChar">
    <w:name w:val="2018 Review Feature page title Char"/>
    <w:basedOn w:val="Heading1Char"/>
    <w:link w:val="2018ReviewFeaturepagetitle"/>
    <w:rsid w:val="00200539"/>
    <w:rPr>
      <w:rFonts w:ascii="Arial" w:eastAsiaTheme="majorEastAsia" w:hAnsi="Arial" w:cs="Arial"/>
      <w:b w:val="0"/>
      <w:bCs w:val="0"/>
      <w:color w:val="145B85"/>
      <w:sz w:val="36"/>
      <w:szCs w:val="36"/>
      <w:shd w:val="clear" w:color="auto" w:fill="F2F2F2" w:themeFill="background1" w:themeFillShade="F2"/>
    </w:rPr>
  </w:style>
  <w:style w:type="paragraph" w:customStyle="1" w:styleId="2018Review1stHeading">
    <w:name w:val="2018 Review 1st Heading"/>
    <w:basedOn w:val="Heading1"/>
    <w:next w:val="Normal"/>
    <w:link w:val="2018Review1stHeadingChar"/>
    <w:rsid w:val="00200539"/>
    <w:pPr>
      <w:numPr>
        <w:numId w:val="6"/>
      </w:numPr>
      <w:ind w:left="567" w:hanging="567"/>
    </w:pPr>
    <w:rPr>
      <w:color w:val="145B85"/>
    </w:rPr>
  </w:style>
  <w:style w:type="paragraph" w:customStyle="1" w:styleId="2018ReviewWhiteHeading">
    <w:name w:val="2018 Review White Heading"/>
    <w:basedOn w:val="Normal"/>
    <w:next w:val="Normal"/>
    <w:rsid w:val="00200539"/>
    <w:pPr>
      <w:keepNext/>
      <w:pBdr>
        <w:top w:val="single" w:sz="4" w:space="31" w:color="767171" w:themeColor="background2" w:themeShade="80"/>
        <w:left w:val="single" w:sz="4" w:space="31" w:color="767171" w:themeColor="background2" w:themeShade="80"/>
        <w:bottom w:val="single" w:sz="4" w:space="31" w:color="767171" w:themeColor="background2" w:themeShade="80"/>
        <w:right w:val="single" w:sz="4" w:space="31" w:color="767171" w:themeColor="background2" w:themeShade="80"/>
      </w:pBdr>
      <w:shd w:val="clear" w:color="auto" w:fill="555102"/>
      <w:spacing w:before="120" w:after="960"/>
      <w:outlineLvl w:val="0"/>
    </w:pPr>
    <w:rPr>
      <w:rFonts w:ascii="Arial Bold" w:hAnsi="Arial Bold" w:cs="Arial"/>
      <w:b/>
      <w:bCs/>
      <w:caps/>
      <w:color w:val="FFFFFF" w:themeColor="background1"/>
      <w:spacing w:val="20"/>
      <w:kern w:val="96"/>
      <w:sz w:val="36"/>
      <w:szCs w:val="36"/>
    </w:rPr>
  </w:style>
  <w:style w:type="paragraph" w:customStyle="1" w:styleId="2018ReviewCaptionstyle">
    <w:name w:val="2018 Review Caption style"/>
    <w:basedOn w:val="Normal"/>
    <w:link w:val="2018ReviewCaptionstyleChar"/>
    <w:rsid w:val="00200539"/>
    <w:rPr>
      <w:sz w:val="18"/>
      <w:szCs w:val="18"/>
    </w:rPr>
  </w:style>
  <w:style w:type="paragraph" w:customStyle="1" w:styleId="2018ReviewBullets">
    <w:name w:val="2018 Review Bullets"/>
    <w:basedOn w:val="ListParagraph"/>
    <w:link w:val="2018ReviewBulletsChar"/>
    <w:rsid w:val="00200539"/>
    <w:pPr>
      <w:numPr>
        <w:numId w:val="1"/>
      </w:numPr>
    </w:pPr>
  </w:style>
  <w:style w:type="character" w:customStyle="1" w:styleId="2018ReviewCaptionstyleChar">
    <w:name w:val="2018 Review Caption style Char"/>
    <w:basedOn w:val="DefaultParagraphFont"/>
    <w:link w:val="2018ReviewCaptionstyle"/>
    <w:rsid w:val="00200539"/>
    <w:rPr>
      <w:rFonts w:ascii="Arial" w:hAnsi="Arial" w:cs="Times New Roman"/>
      <w:sz w:val="18"/>
      <w:szCs w:val="18"/>
      <w:lang w:eastAsia="en-AU"/>
    </w:rPr>
  </w:style>
  <w:style w:type="character" w:customStyle="1" w:styleId="ListParagraphChar">
    <w:name w:val="List Paragraph Char"/>
    <w:aliases w:val="SWA List Paragraph Char,Indent Char,Bullet Char,Recommendation Char,List Paragraph1 Char,standard lewis Char,List Paragraph11 Char,List Paragraph2 Char,Bulit List -  Paragraph Char,Main numbered paragraph Char,Heading2 Char,L Char"/>
    <w:basedOn w:val="DefaultParagraphFont"/>
    <w:link w:val="ListParagraph"/>
    <w:uiPriority w:val="34"/>
    <w:rsid w:val="006371F4"/>
  </w:style>
  <w:style w:type="character" w:customStyle="1" w:styleId="2018ReviewBulletsChar">
    <w:name w:val="2018 Review Bullets Char"/>
    <w:basedOn w:val="ListParagraphChar"/>
    <w:link w:val="2018ReviewBullets"/>
    <w:rsid w:val="00200539"/>
  </w:style>
  <w:style w:type="paragraph" w:customStyle="1" w:styleId="2018ReviewTableheader">
    <w:name w:val="2018 Review Table header"/>
    <w:link w:val="2018ReviewTableheaderChar"/>
    <w:rsid w:val="00200539"/>
    <w:pPr>
      <w:spacing w:before="120" w:line="276" w:lineRule="auto"/>
    </w:pPr>
    <w:rPr>
      <w:rFonts w:ascii="Arial" w:eastAsiaTheme="majorEastAsia" w:hAnsi="Arial" w:cstheme="majorBidi"/>
      <w:b/>
      <w:color w:val="145B85"/>
      <w:spacing w:val="-3"/>
    </w:rPr>
  </w:style>
  <w:style w:type="character" w:customStyle="1" w:styleId="2018ReviewTableheaderChar">
    <w:name w:val="2018 Review Table header Char"/>
    <w:basedOn w:val="Heading4Char"/>
    <w:link w:val="2018ReviewTableheader"/>
    <w:rsid w:val="00200539"/>
    <w:rPr>
      <w:rFonts w:ascii="Arial" w:eastAsiaTheme="majorEastAsia" w:hAnsi="Arial" w:cstheme="majorBidi"/>
      <w:b w:val="0"/>
      <w:bCs w:val="0"/>
      <w:i w:val="0"/>
      <w:iCs w:val="0"/>
      <w:color w:val="145B85"/>
      <w:spacing w:val="-3"/>
      <w:sz w:val="20"/>
      <w:szCs w:val="22"/>
    </w:rPr>
  </w:style>
  <w:style w:type="paragraph" w:customStyle="1" w:styleId="2018ReviewSectionnumberingheading">
    <w:name w:val="2018 Review Section numbering heading"/>
    <w:basedOn w:val="Heading1"/>
    <w:next w:val="Normal"/>
    <w:rsid w:val="00200539"/>
    <w:rPr>
      <w:color w:val="145B85"/>
    </w:rPr>
  </w:style>
  <w:style w:type="character" w:styleId="FollowedHyperlink">
    <w:name w:val="FollowedHyperlink"/>
    <w:basedOn w:val="DefaultParagraphFont"/>
    <w:uiPriority w:val="99"/>
    <w:semiHidden/>
    <w:unhideWhenUsed/>
    <w:rsid w:val="00200539"/>
    <w:rPr>
      <w:color w:val="E80C30" w:themeColor="followedHyperlink"/>
      <w:u w:val="single"/>
    </w:rPr>
  </w:style>
  <w:style w:type="paragraph" w:styleId="TOCHeading">
    <w:name w:val="TOC Heading"/>
    <w:basedOn w:val="Heading1"/>
    <w:next w:val="Normal"/>
    <w:uiPriority w:val="39"/>
    <w:unhideWhenUsed/>
    <w:qFormat/>
    <w:rsid w:val="00047BC6"/>
    <w:pPr>
      <w:outlineLvl w:val="9"/>
    </w:pPr>
  </w:style>
  <w:style w:type="paragraph" w:styleId="TOC1">
    <w:name w:val="toc 1"/>
    <w:basedOn w:val="Normal"/>
    <w:next w:val="Normal"/>
    <w:autoRedefine/>
    <w:uiPriority w:val="39"/>
    <w:unhideWhenUsed/>
    <w:rsid w:val="006371F4"/>
    <w:pPr>
      <w:tabs>
        <w:tab w:val="left" w:pos="440"/>
        <w:tab w:val="right" w:leader="dot" w:pos="9016"/>
      </w:tabs>
      <w:spacing w:after="100"/>
    </w:pPr>
    <w:rPr>
      <w:b/>
      <w:bCs/>
      <w:noProof/>
    </w:rPr>
  </w:style>
  <w:style w:type="paragraph" w:styleId="TOC2">
    <w:name w:val="toc 2"/>
    <w:basedOn w:val="Normal"/>
    <w:next w:val="Normal"/>
    <w:autoRedefine/>
    <w:uiPriority w:val="39"/>
    <w:unhideWhenUsed/>
    <w:rsid w:val="0065336A"/>
    <w:pPr>
      <w:tabs>
        <w:tab w:val="left" w:pos="993"/>
        <w:tab w:val="right" w:leader="dot" w:pos="9016"/>
      </w:tabs>
      <w:spacing w:after="100"/>
      <w:ind w:left="426"/>
    </w:pPr>
    <w:rPr>
      <w:b/>
      <w:noProof/>
    </w:rPr>
  </w:style>
  <w:style w:type="paragraph" w:styleId="TOC3">
    <w:name w:val="toc 3"/>
    <w:basedOn w:val="Normal"/>
    <w:next w:val="Normal"/>
    <w:autoRedefine/>
    <w:uiPriority w:val="39"/>
    <w:unhideWhenUsed/>
    <w:rsid w:val="006371F4"/>
    <w:pPr>
      <w:tabs>
        <w:tab w:val="right" w:leader="dot" w:pos="9016"/>
      </w:tabs>
      <w:spacing w:after="100"/>
      <w:ind w:left="993"/>
    </w:pPr>
    <w:rPr>
      <w:i/>
      <w:iCs/>
      <w:noProof/>
    </w:rPr>
  </w:style>
  <w:style w:type="paragraph" w:styleId="TOC8">
    <w:name w:val="toc 8"/>
    <w:basedOn w:val="Normal"/>
    <w:next w:val="Normal"/>
    <w:autoRedefine/>
    <w:uiPriority w:val="39"/>
    <w:semiHidden/>
    <w:unhideWhenUsed/>
    <w:rsid w:val="00200539"/>
    <w:pPr>
      <w:spacing w:after="100"/>
      <w:ind w:left="1400"/>
    </w:pPr>
  </w:style>
  <w:style w:type="paragraph" w:customStyle="1" w:styleId="2018ReviewDisclaimerheading">
    <w:name w:val="2018 Review Disclaimer heading"/>
    <w:basedOn w:val="2018ReviewTableheader"/>
    <w:link w:val="2018ReviewDisclaimerheadingChar"/>
    <w:rsid w:val="00200539"/>
    <w:rPr>
      <w:sz w:val="14"/>
      <w:szCs w:val="14"/>
    </w:rPr>
  </w:style>
  <w:style w:type="paragraph" w:customStyle="1" w:styleId="2018ReviewDisclaimerbodytext">
    <w:name w:val="2018 Review Disclaimer body text"/>
    <w:basedOn w:val="Normal"/>
    <w:link w:val="2018ReviewDisclaimerbodytextChar"/>
    <w:rsid w:val="00200539"/>
    <w:pPr>
      <w:spacing w:line="276" w:lineRule="auto"/>
    </w:pPr>
    <w:rPr>
      <w:sz w:val="14"/>
      <w:szCs w:val="14"/>
    </w:rPr>
  </w:style>
  <w:style w:type="character" w:customStyle="1" w:styleId="2018ReviewDisclaimerheadingChar">
    <w:name w:val="2018 Review Disclaimer heading Char"/>
    <w:basedOn w:val="2018ReviewTableheaderChar"/>
    <w:link w:val="2018ReviewDisclaimerheading"/>
    <w:rsid w:val="00200539"/>
    <w:rPr>
      <w:rFonts w:ascii="Arial" w:eastAsiaTheme="majorEastAsia" w:hAnsi="Arial" w:cstheme="majorBidi"/>
      <w:b w:val="0"/>
      <w:bCs w:val="0"/>
      <w:i w:val="0"/>
      <w:iCs w:val="0"/>
      <w:color w:val="145B85"/>
      <w:spacing w:val="-3"/>
      <w:sz w:val="14"/>
      <w:szCs w:val="14"/>
    </w:rPr>
  </w:style>
  <w:style w:type="paragraph" w:customStyle="1" w:styleId="SWASectiontitle">
    <w:name w:val="SWA Section title"/>
    <w:basedOn w:val="2018ReviewCoverHeader"/>
    <w:link w:val="SWASectiontitleChar"/>
    <w:rsid w:val="00200539"/>
    <w:pPr>
      <w:numPr>
        <w:numId w:val="2"/>
      </w:numPr>
      <w:spacing w:before="0"/>
    </w:pPr>
    <w:rPr>
      <w:caps/>
      <w:color w:val="145B85"/>
      <w:sz w:val="36"/>
    </w:rPr>
  </w:style>
  <w:style w:type="character" w:customStyle="1" w:styleId="2018ReviewDisclaimerbodytextChar">
    <w:name w:val="2018 Review Disclaimer body text Char"/>
    <w:basedOn w:val="DefaultParagraphFont"/>
    <w:link w:val="2018ReviewDisclaimerbodytext"/>
    <w:rsid w:val="00200539"/>
    <w:rPr>
      <w:rFonts w:ascii="Arial" w:eastAsia="Times New Roman" w:hAnsi="Arial" w:cs="Times New Roman"/>
      <w:sz w:val="14"/>
      <w:szCs w:val="14"/>
      <w:lang w:eastAsia="en-AU"/>
    </w:rPr>
  </w:style>
  <w:style w:type="paragraph" w:styleId="NoSpacing">
    <w:name w:val="No Spacing"/>
    <w:aliases w:val="SWA No Spacing"/>
    <w:uiPriority w:val="1"/>
    <w:qFormat/>
    <w:rsid w:val="00047BC6"/>
    <w:pPr>
      <w:spacing w:after="0" w:line="240" w:lineRule="auto"/>
    </w:pPr>
  </w:style>
  <w:style w:type="character" w:customStyle="1" w:styleId="SWASectiontitleChar">
    <w:name w:val="SWA Section title Char"/>
    <w:basedOn w:val="TitleChar"/>
    <w:link w:val="SWASectiontitle"/>
    <w:rsid w:val="00200539"/>
    <w:rPr>
      <w:rFonts w:asciiTheme="majorHAnsi" w:eastAsiaTheme="majorEastAsia" w:hAnsiTheme="majorHAnsi" w:cstheme="majorBidi"/>
      <w:caps/>
      <w:color w:val="145B85"/>
      <w:spacing w:val="-10"/>
      <w:sz w:val="36"/>
      <w:szCs w:val="96"/>
    </w:rPr>
  </w:style>
  <w:style w:type="paragraph" w:styleId="Quote">
    <w:name w:val="Quote"/>
    <w:aliases w:val="2018 Review Quote,Summary"/>
    <w:basedOn w:val="Normal"/>
    <w:next w:val="Normal"/>
    <w:link w:val="QuoteChar"/>
    <w:uiPriority w:val="29"/>
    <w:qFormat/>
    <w:rsid w:val="00047BC6"/>
    <w:pPr>
      <w:spacing w:before="160"/>
      <w:ind w:left="720" w:right="720"/>
    </w:pPr>
    <w:rPr>
      <w:i/>
      <w:iCs/>
      <w:color w:val="404040" w:themeColor="text1" w:themeTint="BF"/>
    </w:rPr>
  </w:style>
  <w:style w:type="character" w:customStyle="1" w:styleId="QuoteChar">
    <w:name w:val="Quote Char"/>
    <w:aliases w:val="2018 Review Quote Char,Summary Char"/>
    <w:basedOn w:val="DefaultParagraphFont"/>
    <w:link w:val="Quote"/>
    <w:uiPriority w:val="29"/>
    <w:rsid w:val="00047BC6"/>
    <w:rPr>
      <w:i/>
      <w:iCs/>
      <w:color w:val="404040" w:themeColor="text1" w:themeTint="BF"/>
    </w:rPr>
  </w:style>
  <w:style w:type="paragraph" w:customStyle="1" w:styleId="2018ReviewHeading1featurepage">
    <w:name w:val="2018 Review Heading 1 feature page"/>
    <w:basedOn w:val="2018ReviewFeaturepagetitle"/>
    <w:link w:val="2018ReviewHeading1featurepageChar"/>
    <w:rsid w:val="00200539"/>
    <w:rPr>
      <w:color w:val="2B0A99" w:themeColor="text2"/>
    </w:rPr>
  </w:style>
  <w:style w:type="paragraph" w:customStyle="1" w:styleId="2018ReviewHeading2Featurepage">
    <w:name w:val="2018 ReviewHeading 2 Feature page"/>
    <w:basedOn w:val="2018ReviewHeading1featurepage"/>
    <w:link w:val="2018ReviewHeading2FeaturepageChar"/>
    <w:rsid w:val="00200539"/>
  </w:style>
  <w:style w:type="character" w:customStyle="1" w:styleId="2018ReviewHeading1featurepageChar">
    <w:name w:val="2018 Review Heading 1 feature page Char"/>
    <w:basedOn w:val="2018ReviewFeaturepagetitleChar"/>
    <w:link w:val="2018ReviewHeading1featurepage"/>
    <w:rsid w:val="00200539"/>
    <w:rPr>
      <w:rFonts w:ascii="Arial" w:eastAsiaTheme="majorEastAsia" w:hAnsi="Arial" w:cs="Arial"/>
      <w:b w:val="0"/>
      <w:bCs w:val="0"/>
      <w:color w:val="2B0A99" w:themeColor="text2"/>
      <w:sz w:val="36"/>
      <w:szCs w:val="36"/>
      <w:shd w:val="clear" w:color="auto" w:fill="F2F2F2" w:themeFill="background1" w:themeFillShade="F2"/>
    </w:rPr>
  </w:style>
  <w:style w:type="character" w:customStyle="1" w:styleId="2018ReviewHeading2FeaturepageChar">
    <w:name w:val="2018 ReviewHeading 2 Feature page Char"/>
    <w:basedOn w:val="2018ReviewHeading1featurepageChar"/>
    <w:link w:val="2018ReviewHeading2Featurepage"/>
    <w:rsid w:val="00200539"/>
    <w:rPr>
      <w:rFonts w:ascii="Arial" w:eastAsiaTheme="majorEastAsia" w:hAnsi="Arial" w:cs="Arial"/>
      <w:b w:val="0"/>
      <w:bCs w:val="0"/>
      <w:color w:val="2B0A99" w:themeColor="text2"/>
      <w:sz w:val="36"/>
      <w:szCs w:val="36"/>
      <w:shd w:val="clear" w:color="auto" w:fill="F2F2F2" w:themeFill="background1" w:themeFillShade="F2"/>
    </w:rPr>
  </w:style>
  <w:style w:type="paragraph" w:styleId="Caption">
    <w:name w:val="caption"/>
    <w:aliases w:val="Table heading"/>
    <w:basedOn w:val="Normal"/>
    <w:next w:val="Normal"/>
    <w:uiPriority w:val="35"/>
    <w:unhideWhenUsed/>
    <w:qFormat/>
    <w:rsid w:val="00047BC6"/>
    <w:pPr>
      <w:spacing w:line="240" w:lineRule="auto"/>
    </w:pPr>
    <w:rPr>
      <w:b/>
      <w:bCs/>
      <w:smallCaps/>
      <w:color w:val="595959" w:themeColor="text1" w:themeTint="A6"/>
      <w:spacing w:val="6"/>
    </w:rPr>
  </w:style>
  <w:style w:type="paragraph" w:customStyle="1" w:styleId="2018ReviewTitlePageHeader">
    <w:name w:val="2018 Review Title Page Header"/>
    <w:basedOn w:val="2018ReviewCoverHeader"/>
    <w:link w:val="2018ReviewTitlePageHeaderChar"/>
    <w:rsid w:val="00200539"/>
    <w:pPr>
      <w:spacing w:before="240" w:after="120"/>
    </w:pPr>
    <w:rPr>
      <w:b/>
      <w:color w:val="145B85"/>
    </w:rPr>
  </w:style>
  <w:style w:type="character" w:customStyle="1" w:styleId="2018ReviewTitlePageHeaderChar">
    <w:name w:val="2018 Review Title Page Header Char"/>
    <w:basedOn w:val="SWASectiontitleChar"/>
    <w:link w:val="2018ReviewTitlePageHeader"/>
    <w:rsid w:val="00200539"/>
    <w:rPr>
      <w:rFonts w:ascii="Arial" w:eastAsiaTheme="majorEastAsia" w:hAnsi="Arial" w:cs="Arial"/>
      <w:b/>
      <w:bCs w:val="0"/>
      <w:caps w:val="0"/>
      <w:color w:val="145B85"/>
      <w:spacing w:val="-10"/>
      <w:kern w:val="28"/>
      <w:sz w:val="96"/>
      <w:szCs w:val="96"/>
    </w:rPr>
  </w:style>
  <w:style w:type="numbering" w:customStyle="1" w:styleId="NoList1">
    <w:name w:val="No List1"/>
    <w:next w:val="NoList"/>
    <w:uiPriority w:val="99"/>
    <w:semiHidden/>
    <w:unhideWhenUsed/>
    <w:rsid w:val="00200539"/>
  </w:style>
  <w:style w:type="character" w:styleId="CommentReference">
    <w:name w:val="annotation reference"/>
    <w:basedOn w:val="DefaultParagraphFont"/>
    <w:uiPriority w:val="99"/>
    <w:unhideWhenUsed/>
    <w:rsid w:val="00200539"/>
    <w:rPr>
      <w:sz w:val="16"/>
      <w:szCs w:val="16"/>
    </w:rPr>
  </w:style>
  <w:style w:type="paragraph" w:styleId="CommentText">
    <w:name w:val="annotation text"/>
    <w:basedOn w:val="Normal"/>
    <w:link w:val="CommentTextChar"/>
    <w:uiPriority w:val="99"/>
    <w:unhideWhenUsed/>
    <w:rsid w:val="00200539"/>
    <w:pPr>
      <w:spacing w:after="160"/>
    </w:pPr>
  </w:style>
  <w:style w:type="character" w:customStyle="1" w:styleId="CommentTextChar">
    <w:name w:val="Comment Text Char"/>
    <w:basedOn w:val="DefaultParagraphFont"/>
    <w:link w:val="CommentText"/>
    <w:uiPriority w:val="99"/>
    <w:rsid w:val="00200539"/>
    <w:rPr>
      <w:sz w:val="20"/>
      <w:szCs w:val="20"/>
    </w:rPr>
  </w:style>
  <w:style w:type="paragraph" w:styleId="CommentSubject">
    <w:name w:val="annotation subject"/>
    <w:basedOn w:val="CommentText"/>
    <w:next w:val="CommentText"/>
    <w:link w:val="CommentSubjectChar"/>
    <w:uiPriority w:val="99"/>
    <w:semiHidden/>
    <w:unhideWhenUsed/>
    <w:rsid w:val="00200539"/>
    <w:rPr>
      <w:b/>
      <w:bCs/>
    </w:rPr>
  </w:style>
  <w:style w:type="character" w:customStyle="1" w:styleId="CommentSubjectChar">
    <w:name w:val="Comment Subject Char"/>
    <w:basedOn w:val="CommentTextChar"/>
    <w:link w:val="CommentSubject"/>
    <w:uiPriority w:val="99"/>
    <w:semiHidden/>
    <w:rsid w:val="00200539"/>
    <w:rPr>
      <w:b/>
      <w:bCs/>
      <w:sz w:val="20"/>
      <w:szCs w:val="20"/>
    </w:rPr>
  </w:style>
  <w:style w:type="table" w:customStyle="1" w:styleId="TableGrid1">
    <w:name w:val="Table Grid1"/>
    <w:basedOn w:val="TableNormal"/>
    <w:next w:val="TableGrid"/>
    <w:uiPriority w:val="39"/>
    <w:rsid w:val="00200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Char">
    <w:name w:val="Bullets Char"/>
    <w:basedOn w:val="DefaultParagraphFont"/>
    <w:link w:val="Bullets"/>
    <w:uiPriority w:val="2"/>
    <w:locked/>
    <w:rsid w:val="00200539"/>
    <w:rPr>
      <w:rFonts w:ascii="Arial" w:eastAsia="Times New Roman" w:hAnsi="Arial" w:cs="Times New Roman"/>
      <w:sz w:val="20"/>
      <w:szCs w:val="20"/>
      <w:lang w:eastAsia="en-AU"/>
    </w:rPr>
  </w:style>
  <w:style w:type="paragraph" w:customStyle="1" w:styleId="Bullets">
    <w:name w:val="Bullets"/>
    <w:basedOn w:val="ListParagraph"/>
    <w:link w:val="BulletsChar"/>
    <w:uiPriority w:val="2"/>
    <w:rsid w:val="00200539"/>
    <w:pPr>
      <w:spacing w:after="80" w:line="360" w:lineRule="auto"/>
      <w:ind w:left="360"/>
    </w:pPr>
  </w:style>
  <w:style w:type="character" w:customStyle="1" w:styleId="HeadingRecommendationChar">
    <w:name w:val="Heading Recommendation Char"/>
    <w:basedOn w:val="DefaultParagraphFont"/>
    <w:link w:val="HeadingRecommendation"/>
    <w:locked/>
    <w:rsid w:val="00200539"/>
    <w:rPr>
      <w:rFonts w:ascii="Arial" w:eastAsiaTheme="majorEastAsia" w:hAnsi="Arial" w:cstheme="majorBidi"/>
      <w:b/>
      <w:color w:val="145B85"/>
      <w:spacing w:val="-3"/>
      <w:sz w:val="24"/>
    </w:rPr>
  </w:style>
  <w:style w:type="paragraph" w:customStyle="1" w:styleId="HeadingRecommendation">
    <w:name w:val="Heading Recommendation"/>
    <w:link w:val="HeadingRecommendationChar"/>
    <w:rsid w:val="00200539"/>
    <w:pPr>
      <w:spacing w:after="80" w:line="276" w:lineRule="auto"/>
    </w:pPr>
    <w:rPr>
      <w:rFonts w:ascii="Arial" w:eastAsiaTheme="majorEastAsia" w:hAnsi="Arial" w:cstheme="majorBidi"/>
      <w:b/>
      <w:color w:val="145B85"/>
      <w:spacing w:val="-3"/>
      <w:sz w:val="24"/>
    </w:rPr>
  </w:style>
  <w:style w:type="character" w:styleId="IntenseEmphasis">
    <w:name w:val="Intense Emphasis"/>
    <w:basedOn w:val="DefaultParagraphFont"/>
    <w:uiPriority w:val="21"/>
    <w:qFormat/>
    <w:rsid w:val="00047BC6"/>
    <w:rPr>
      <w:b/>
      <w:bCs/>
      <w:i/>
      <w:iCs/>
    </w:rPr>
  </w:style>
  <w:style w:type="paragraph" w:styleId="FootnoteText">
    <w:name w:val="footnote text"/>
    <w:aliases w:val="Footnotes Text,FSFootnotes Text,FSFootnote Text,FN,Footnote Text Char1 Char,Footnote Text Char1,Footnote Text Char Char1,Footnote Text Char1 Char Char Char,Footnote Text Char1 Char Char1,Footnote Text Char Char Char,Char Char,fn,FT,ft"/>
    <w:basedOn w:val="Normal"/>
    <w:link w:val="FootnoteTextChar"/>
    <w:uiPriority w:val="99"/>
    <w:unhideWhenUsed/>
    <w:qFormat/>
    <w:rsid w:val="00200539"/>
    <w:pPr>
      <w:spacing w:after="0"/>
    </w:pPr>
    <w:rPr>
      <w:sz w:val="18"/>
      <w:szCs w:val="18"/>
    </w:rPr>
  </w:style>
  <w:style w:type="character" w:customStyle="1" w:styleId="FootnoteTextChar">
    <w:name w:val="Footnote Text Char"/>
    <w:aliases w:val="Footnotes Text Char,FSFootnotes Text Char,FSFootnote Text Char,FN Char1,Footnote Text Char1 Char Char2,Footnote Text Char1 Char2,Footnote Text Char Char1 Char1,Footnote Text Char1 Char Char Char Char1,Char Char Char,fn Char,FT Char"/>
    <w:basedOn w:val="DefaultParagraphFont"/>
    <w:link w:val="FootnoteText"/>
    <w:uiPriority w:val="99"/>
    <w:rsid w:val="00200539"/>
    <w:rPr>
      <w:rFonts w:ascii="Arial" w:eastAsia="Times New Roman" w:hAnsi="Arial" w:cs="Times New Roman"/>
      <w:sz w:val="18"/>
      <w:szCs w:val="18"/>
      <w:lang w:eastAsia="en-AU"/>
    </w:rPr>
  </w:style>
  <w:style w:type="character" w:styleId="FootnoteReference">
    <w:name w:val="footnote reference"/>
    <w:aliases w:val="NO,fr,(NECG) Footnote Reference,Ref,de nota al pie"/>
    <w:basedOn w:val="DefaultParagraphFont"/>
    <w:uiPriority w:val="99"/>
    <w:unhideWhenUsed/>
    <w:rsid w:val="00200539"/>
    <w:rPr>
      <w:vertAlign w:val="superscript"/>
    </w:rPr>
  </w:style>
  <w:style w:type="paragraph" w:customStyle="1" w:styleId="Default">
    <w:name w:val="Default"/>
    <w:rsid w:val="00200539"/>
    <w:pPr>
      <w:autoSpaceDE w:val="0"/>
      <w:autoSpaceDN w:val="0"/>
      <w:adjustRightInd w:val="0"/>
      <w:spacing w:after="0" w:line="240" w:lineRule="auto"/>
    </w:pPr>
    <w:rPr>
      <w:rFonts w:ascii="Cambria" w:hAnsi="Cambria" w:cs="Cambria"/>
      <w:color w:val="000000"/>
      <w:sz w:val="24"/>
      <w:szCs w:val="24"/>
    </w:rPr>
  </w:style>
  <w:style w:type="paragraph" w:styleId="NormalWeb">
    <w:name w:val="Normal (Web)"/>
    <w:basedOn w:val="Normal"/>
    <w:uiPriority w:val="99"/>
    <w:unhideWhenUsed/>
    <w:rsid w:val="00200539"/>
    <w:pPr>
      <w:spacing w:before="100" w:beforeAutospacing="1" w:after="100" w:afterAutospacing="1"/>
    </w:pPr>
    <w:rPr>
      <w:rFonts w:ascii="Times New Roman" w:hAnsi="Times New Roman"/>
      <w:sz w:val="24"/>
    </w:rPr>
  </w:style>
  <w:style w:type="numbering" w:customStyle="1" w:styleId="NoList11">
    <w:name w:val="No List11"/>
    <w:next w:val="NoList"/>
    <w:uiPriority w:val="99"/>
    <w:semiHidden/>
    <w:unhideWhenUsed/>
    <w:rsid w:val="00200539"/>
  </w:style>
  <w:style w:type="table" w:customStyle="1" w:styleId="TableGrid2">
    <w:name w:val="Table Grid2"/>
    <w:basedOn w:val="TableNormal"/>
    <w:next w:val="TableGrid"/>
    <w:uiPriority w:val="39"/>
    <w:rsid w:val="00200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00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200539"/>
    <w:pPr>
      <w:spacing w:line="259" w:lineRule="auto"/>
    </w:pPr>
    <w:rPr>
      <w:szCs w:val="22"/>
    </w:rPr>
  </w:style>
  <w:style w:type="character" w:customStyle="1" w:styleId="BodyTextChar">
    <w:name w:val="Body Text Char"/>
    <w:basedOn w:val="DefaultParagraphFont"/>
    <w:link w:val="BodyText"/>
    <w:uiPriority w:val="99"/>
    <w:semiHidden/>
    <w:rsid w:val="00200539"/>
  </w:style>
  <w:style w:type="paragraph" w:customStyle="1" w:styleId="Bullet1">
    <w:name w:val="Bullet 1"/>
    <w:basedOn w:val="Normal"/>
    <w:rsid w:val="00200539"/>
    <w:pPr>
      <w:numPr>
        <w:numId w:val="3"/>
      </w:numPr>
      <w:spacing w:before="60" w:after="0"/>
      <w:jc w:val="both"/>
    </w:pPr>
    <w:rPr>
      <w:rFonts w:ascii="Calibri" w:hAnsi="Calibri" w:cs="Arial"/>
    </w:rPr>
  </w:style>
  <w:style w:type="paragraph" w:customStyle="1" w:styleId="Bullet2">
    <w:name w:val="Bullet 2"/>
    <w:basedOn w:val="Normal"/>
    <w:rsid w:val="00200539"/>
    <w:pPr>
      <w:numPr>
        <w:ilvl w:val="1"/>
        <w:numId w:val="3"/>
      </w:numPr>
      <w:tabs>
        <w:tab w:val="clear" w:pos="1134"/>
        <w:tab w:val="num" w:pos="1440"/>
      </w:tabs>
      <w:spacing w:before="60" w:after="0"/>
      <w:ind w:left="1440" w:hanging="360"/>
      <w:jc w:val="both"/>
    </w:pPr>
    <w:rPr>
      <w:rFonts w:ascii="Calibri" w:hAnsi="Calibri"/>
    </w:rPr>
  </w:style>
  <w:style w:type="paragraph" w:customStyle="1" w:styleId="Bullet3">
    <w:name w:val="Bullet 3"/>
    <w:basedOn w:val="Normal"/>
    <w:rsid w:val="00200539"/>
    <w:pPr>
      <w:numPr>
        <w:ilvl w:val="2"/>
        <w:numId w:val="3"/>
      </w:numPr>
      <w:tabs>
        <w:tab w:val="clear" w:pos="1701"/>
        <w:tab w:val="num" w:pos="2160"/>
      </w:tabs>
      <w:spacing w:before="60" w:after="0"/>
      <w:ind w:left="2160" w:hanging="180"/>
      <w:jc w:val="both"/>
    </w:pPr>
    <w:rPr>
      <w:rFonts w:ascii="Calibri" w:hAnsi="Calibri"/>
    </w:rPr>
  </w:style>
  <w:style w:type="character" w:styleId="PlaceholderText">
    <w:name w:val="Placeholder Text"/>
    <w:basedOn w:val="DefaultParagraphFont"/>
    <w:uiPriority w:val="99"/>
    <w:semiHidden/>
    <w:rsid w:val="006371F4"/>
    <w:rPr>
      <w:color w:val="666666"/>
    </w:rPr>
  </w:style>
  <w:style w:type="paragraph" w:customStyle="1" w:styleId="numberedpara">
    <w:name w:val="numbered para"/>
    <w:basedOn w:val="Normal"/>
    <w:rsid w:val="00200539"/>
    <w:pPr>
      <w:keepLines/>
      <w:numPr>
        <w:numId w:val="4"/>
      </w:numPr>
    </w:pPr>
    <w:rPr>
      <w:rFonts w:ascii="Calibri" w:hAnsi="Calibri" w:cs="Arial"/>
      <w:szCs w:val="16"/>
    </w:rPr>
  </w:style>
  <w:style w:type="character" w:styleId="HTMLDefinition">
    <w:name w:val="HTML Definition"/>
    <w:basedOn w:val="DefaultParagraphFont"/>
    <w:uiPriority w:val="99"/>
    <w:semiHidden/>
    <w:unhideWhenUsed/>
    <w:rsid w:val="00200539"/>
    <w:rPr>
      <w:i w:val="0"/>
      <w:iCs w:val="0"/>
    </w:rPr>
  </w:style>
  <w:style w:type="paragraph" w:customStyle="1" w:styleId="DashEm">
    <w:name w:val="Dash: Em"/>
    <w:basedOn w:val="Normal"/>
    <w:uiPriority w:val="3"/>
    <w:semiHidden/>
    <w:rsid w:val="00200539"/>
    <w:pPr>
      <w:numPr>
        <w:ilvl w:val="1"/>
        <w:numId w:val="5"/>
      </w:numPr>
      <w:tabs>
        <w:tab w:val="clear" w:pos="425"/>
      </w:tabs>
      <w:spacing w:after="140" w:line="280" w:lineRule="atLeast"/>
      <w:ind w:left="1440" w:hanging="360"/>
    </w:pPr>
    <w:rPr>
      <w:rFonts w:cs="Arial"/>
      <w:szCs w:val="22"/>
    </w:rPr>
  </w:style>
  <w:style w:type="paragraph" w:customStyle="1" w:styleId="DashEm1">
    <w:name w:val="Dash: Em 1"/>
    <w:aliases w:val="-EM"/>
    <w:basedOn w:val="Normal"/>
    <w:link w:val="DashEm1Char"/>
    <w:uiPriority w:val="3"/>
    <w:semiHidden/>
    <w:rsid w:val="00200539"/>
    <w:pPr>
      <w:numPr>
        <w:numId w:val="5"/>
      </w:numPr>
      <w:spacing w:after="140" w:line="280" w:lineRule="atLeast"/>
    </w:pPr>
    <w:rPr>
      <w:rFonts w:cs="Arial"/>
      <w:szCs w:val="22"/>
    </w:rPr>
  </w:style>
  <w:style w:type="paragraph" w:customStyle="1" w:styleId="DashEn1">
    <w:name w:val="Dash: En 1"/>
    <w:aliases w:val="-EN"/>
    <w:basedOn w:val="DashEm"/>
    <w:uiPriority w:val="3"/>
    <w:rsid w:val="00200539"/>
    <w:pPr>
      <w:numPr>
        <w:ilvl w:val="2"/>
      </w:numPr>
    </w:pPr>
  </w:style>
  <w:style w:type="paragraph" w:customStyle="1" w:styleId="DashEn2">
    <w:name w:val="Dash: En 2"/>
    <w:basedOn w:val="DashEn1"/>
    <w:uiPriority w:val="3"/>
    <w:semiHidden/>
    <w:rsid w:val="00200539"/>
    <w:pPr>
      <w:numPr>
        <w:ilvl w:val="3"/>
      </w:numPr>
    </w:pPr>
  </w:style>
  <w:style w:type="paragraph" w:customStyle="1" w:styleId="DashEn3">
    <w:name w:val="Dash: En 3"/>
    <w:basedOn w:val="DashEn2"/>
    <w:uiPriority w:val="3"/>
    <w:semiHidden/>
    <w:rsid w:val="00200539"/>
    <w:pPr>
      <w:numPr>
        <w:ilvl w:val="4"/>
      </w:numPr>
    </w:pPr>
  </w:style>
  <w:style w:type="paragraph" w:customStyle="1" w:styleId="DashEn4">
    <w:name w:val="Dash: En 4"/>
    <w:basedOn w:val="DashEn3"/>
    <w:uiPriority w:val="3"/>
    <w:semiHidden/>
    <w:rsid w:val="00200539"/>
    <w:pPr>
      <w:numPr>
        <w:ilvl w:val="5"/>
      </w:numPr>
    </w:pPr>
  </w:style>
  <w:style w:type="paragraph" w:customStyle="1" w:styleId="DashEn5">
    <w:name w:val="Dash: En 5"/>
    <w:basedOn w:val="DashEn4"/>
    <w:uiPriority w:val="3"/>
    <w:semiHidden/>
    <w:rsid w:val="00200539"/>
    <w:pPr>
      <w:numPr>
        <w:ilvl w:val="6"/>
      </w:numPr>
    </w:pPr>
  </w:style>
  <w:style w:type="paragraph" w:customStyle="1" w:styleId="DashEn6">
    <w:name w:val="Dash: En 6"/>
    <w:basedOn w:val="DashEn5"/>
    <w:uiPriority w:val="3"/>
    <w:semiHidden/>
    <w:rsid w:val="00200539"/>
    <w:pPr>
      <w:numPr>
        <w:ilvl w:val="7"/>
      </w:numPr>
    </w:pPr>
  </w:style>
  <w:style w:type="paragraph" w:customStyle="1" w:styleId="DashEn7">
    <w:name w:val="Dash: En 7"/>
    <w:basedOn w:val="DashEn6"/>
    <w:uiPriority w:val="3"/>
    <w:semiHidden/>
    <w:rsid w:val="00200539"/>
    <w:pPr>
      <w:numPr>
        <w:ilvl w:val="8"/>
      </w:numPr>
    </w:pPr>
  </w:style>
  <w:style w:type="character" w:customStyle="1" w:styleId="DashEm1Char">
    <w:name w:val="Dash: Em 1 Char"/>
    <w:aliases w:val="-EM Char"/>
    <w:basedOn w:val="DefaultParagraphFont"/>
    <w:link w:val="DashEm1"/>
    <w:uiPriority w:val="3"/>
    <w:semiHidden/>
    <w:rsid w:val="00200539"/>
    <w:rPr>
      <w:rFonts w:cs="Arial"/>
      <w:szCs w:val="22"/>
    </w:rPr>
  </w:style>
  <w:style w:type="paragraph" w:customStyle="1" w:styleId="2018reviewquestionbulletpoints">
    <w:name w:val="2018 review question bullet points"/>
    <w:basedOn w:val="2018ReviewBullets"/>
    <w:link w:val="2018reviewquestionbulletpointsChar"/>
    <w:rsid w:val="00200539"/>
    <w:pPr>
      <w:numPr>
        <w:numId w:val="7"/>
      </w:numPr>
    </w:pPr>
  </w:style>
  <w:style w:type="character" w:customStyle="1" w:styleId="2018reviewquestionbulletpointsChar">
    <w:name w:val="2018 review question bullet points Char"/>
    <w:basedOn w:val="2018ReviewBulletsChar"/>
    <w:link w:val="2018reviewquestionbulletpoints"/>
    <w:rsid w:val="00200539"/>
  </w:style>
  <w:style w:type="character" w:customStyle="1" w:styleId="2018Review1stHeadingChar">
    <w:name w:val="2018 Review 1st Heading Char"/>
    <w:basedOn w:val="Heading1Char"/>
    <w:link w:val="2018Review1stHeading"/>
    <w:rsid w:val="00200539"/>
    <w:rPr>
      <w:rFonts w:asciiTheme="majorHAnsi" w:eastAsiaTheme="majorEastAsia" w:hAnsiTheme="majorHAnsi" w:cstheme="majorBidi"/>
      <w:color w:val="145B85"/>
      <w:sz w:val="32"/>
      <w:szCs w:val="32"/>
    </w:rPr>
  </w:style>
  <w:style w:type="paragraph" w:customStyle="1" w:styleId="DraftHeading1">
    <w:name w:val="Draft Heading 1"/>
    <w:basedOn w:val="Normal"/>
    <w:next w:val="Normal"/>
    <w:rsid w:val="00200539"/>
    <w:pPr>
      <w:overflowPunct w:val="0"/>
      <w:autoSpaceDE w:val="0"/>
      <w:autoSpaceDN w:val="0"/>
      <w:adjustRightInd w:val="0"/>
      <w:spacing w:before="120" w:after="0"/>
      <w:textAlignment w:val="baseline"/>
      <w:outlineLvl w:val="2"/>
    </w:pPr>
    <w:rPr>
      <w:rFonts w:ascii="Times New Roman" w:hAnsi="Times New Roman"/>
      <w:b/>
      <w:sz w:val="24"/>
    </w:rPr>
  </w:style>
  <w:style w:type="paragraph" w:customStyle="1" w:styleId="DraftHeading2">
    <w:name w:val="Draft Heading 2"/>
    <w:basedOn w:val="Normal"/>
    <w:next w:val="Normal"/>
    <w:rsid w:val="00200539"/>
    <w:pPr>
      <w:overflowPunct w:val="0"/>
      <w:autoSpaceDE w:val="0"/>
      <w:autoSpaceDN w:val="0"/>
      <w:adjustRightInd w:val="0"/>
      <w:spacing w:before="120" w:after="0"/>
      <w:textAlignment w:val="baseline"/>
    </w:pPr>
    <w:rPr>
      <w:rFonts w:ascii="Times New Roman" w:hAnsi="Times New Roman"/>
      <w:sz w:val="24"/>
    </w:rPr>
  </w:style>
  <w:style w:type="paragraph" w:customStyle="1" w:styleId="DraftHeading3">
    <w:name w:val="Draft Heading 3"/>
    <w:basedOn w:val="Normal"/>
    <w:next w:val="Normal"/>
    <w:rsid w:val="00200539"/>
    <w:pPr>
      <w:overflowPunct w:val="0"/>
      <w:autoSpaceDE w:val="0"/>
      <w:autoSpaceDN w:val="0"/>
      <w:adjustRightInd w:val="0"/>
      <w:spacing w:before="120" w:after="0"/>
      <w:textAlignment w:val="baseline"/>
    </w:pPr>
    <w:rPr>
      <w:rFonts w:ascii="Times New Roman" w:hAnsi="Times New Roman"/>
      <w:sz w:val="24"/>
    </w:rPr>
  </w:style>
  <w:style w:type="paragraph" w:customStyle="1" w:styleId="ValueStyle">
    <w:name w:val="Value Style"/>
    <w:basedOn w:val="Normal"/>
    <w:rsid w:val="00FF5C05"/>
    <w:pPr>
      <w:tabs>
        <w:tab w:val="left" w:pos="924"/>
        <w:tab w:val="left" w:pos="1848"/>
        <w:tab w:val="left" w:pos="2773"/>
        <w:tab w:val="left" w:pos="3697"/>
        <w:tab w:val="left" w:pos="4621"/>
        <w:tab w:val="left" w:pos="5545"/>
        <w:tab w:val="left" w:pos="6469"/>
        <w:tab w:val="left" w:pos="7394"/>
        <w:tab w:val="left" w:pos="8318"/>
        <w:tab w:val="right" w:pos="8930"/>
      </w:tabs>
      <w:spacing w:before="120" w:line="276" w:lineRule="auto"/>
      <w:ind w:left="149" w:right="84"/>
    </w:pPr>
    <w:rPr>
      <w:rFonts w:cs="Arial"/>
      <w:color w:val="000000"/>
      <w:sz w:val="18"/>
    </w:rPr>
  </w:style>
  <w:style w:type="table" w:styleId="PlainTable4">
    <w:name w:val="Plain Table 4"/>
    <w:basedOn w:val="TableNormal"/>
    <w:uiPriority w:val="44"/>
    <w:rsid w:val="00051225"/>
    <w:pPr>
      <w:spacing w:after="0" w:line="240" w:lineRule="auto"/>
    </w:p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WADisclaimerheadingChar">
    <w:name w:val="SWA Disclaimer heading Char"/>
    <w:basedOn w:val="DefaultParagraphFont"/>
    <w:link w:val="SWADisclaimerheading"/>
    <w:locked/>
    <w:rsid w:val="006371F4"/>
    <w:rPr>
      <w:rFonts w:ascii="Arial" w:eastAsiaTheme="majorEastAsia" w:hAnsi="Arial" w:cstheme="majorBidi"/>
      <w:b/>
      <w:color w:val="145B85"/>
      <w:spacing w:val="-3"/>
      <w:sz w:val="14"/>
      <w:szCs w:val="14"/>
    </w:rPr>
  </w:style>
  <w:style w:type="paragraph" w:customStyle="1" w:styleId="SWADisclaimerheading">
    <w:name w:val="SWA Disclaimer heading"/>
    <w:basedOn w:val="Normal"/>
    <w:link w:val="SWADisclaimerheadingChar"/>
    <w:rsid w:val="006371F4"/>
    <w:pPr>
      <w:spacing w:before="120" w:line="276" w:lineRule="auto"/>
    </w:pPr>
    <w:rPr>
      <w:rFonts w:eastAsiaTheme="majorEastAsia" w:cstheme="majorBidi"/>
      <w:b/>
      <w:color w:val="145B85"/>
      <w:spacing w:val="-3"/>
      <w:sz w:val="14"/>
      <w:szCs w:val="14"/>
    </w:rPr>
  </w:style>
  <w:style w:type="character" w:customStyle="1" w:styleId="SWADisclaimerbodytextChar">
    <w:name w:val="SWA Disclaimer body text Char"/>
    <w:basedOn w:val="DefaultParagraphFont"/>
    <w:link w:val="SWADisclaimerbodytext"/>
    <w:locked/>
    <w:rsid w:val="009161B2"/>
    <w:rPr>
      <w:rFonts w:ascii="Arial" w:eastAsia="Times New Roman" w:hAnsi="Arial" w:cs="Times New Roman"/>
      <w:sz w:val="14"/>
      <w:szCs w:val="14"/>
      <w:lang w:eastAsia="en-AU"/>
    </w:rPr>
  </w:style>
  <w:style w:type="paragraph" w:customStyle="1" w:styleId="SWADisclaimerbodytext">
    <w:name w:val="SWA Disclaimer body text"/>
    <w:basedOn w:val="Normal"/>
    <w:link w:val="SWADisclaimerbodytextChar"/>
    <w:rsid w:val="009161B2"/>
    <w:pPr>
      <w:spacing w:line="276" w:lineRule="auto"/>
    </w:pPr>
    <w:rPr>
      <w:sz w:val="14"/>
      <w:szCs w:val="14"/>
    </w:rPr>
  </w:style>
  <w:style w:type="character" w:styleId="UnresolvedMention">
    <w:name w:val="Unresolved Mention"/>
    <w:basedOn w:val="DefaultParagraphFont"/>
    <w:uiPriority w:val="99"/>
    <w:semiHidden/>
    <w:unhideWhenUsed/>
    <w:rsid w:val="008F0290"/>
    <w:rPr>
      <w:color w:val="605E5C"/>
      <w:shd w:val="clear" w:color="auto" w:fill="E1DFDD"/>
    </w:rPr>
  </w:style>
  <w:style w:type="paragraph" w:styleId="ListNumber">
    <w:name w:val="List Number"/>
    <w:basedOn w:val="Normal"/>
    <w:rsid w:val="006371F4"/>
    <w:pPr>
      <w:numPr>
        <w:numId w:val="8"/>
      </w:numPr>
      <w:tabs>
        <w:tab w:val="clear" w:pos="360"/>
      </w:tabs>
      <w:spacing w:after="80"/>
      <w:ind w:left="641" w:hanging="357"/>
    </w:pPr>
    <w:rPr>
      <w:rFonts w:eastAsia="Times New Roman" w:cs="Times New Roman"/>
    </w:rPr>
  </w:style>
  <w:style w:type="character" w:customStyle="1" w:styleId="FootnoteTextChar2">
    <w:name w:val="Footnote Text Char2"/>
    <w:aliases w:val="FN Char,Footnote Text Char1 Char Char,Footnote Text Char1 Char1,Footnote Text Char Char1 Char,Footnote Text Char1 Char Char Char Char,Footnote Text Char1 Char Char1 Char,Footnote Text Char Char Char Char"/>
    <w:basedOn w:val="DefaultParagraphFont"/>
    <w:uiPriority w:val="2"/>
    <w:locked/>
    <w:rsid w:val="00801580"/>
    <w:rPr>
      <w:rFonts w:ascii="Arial" w:hAnsi="Arial" w:cs="Arial"/>
      <w:sz w:val="18"/>
    </w:rPr>
  </w:style>
  <w:style w:type="paragraph" w:customStyle="1" w:styleId="BulletsSWA">
    <w:name w:val="Bullets SWA"/>
    <w:basedOn w:val="Normal"/>
    <w:rsid w:val="00A37D8C"/>
    <w:pPr>
      <w:spacing w:after="180" w:line="360" w:lineRule="auto"/>
    </w:pPr>
    <w:rPr>
      <w:rFonts w:cs="Arial"/>
      <w:color w:val="4877E0" w:themeColor="accent1"/>
      <w:sz w:val="28"/>
      <w:szCs w:val="28"/>
    </w:rPr>
  </w:style>
  <w:style w:type="character" w:customStyle="1" w:styleId="Heading8Char">
    <w:name w:val="Heading 8 Char"/>
    <w:basedOn w:val="DefaultParagraphFont"/>
    <w:link w:val="Heading8"/>
    <w:uiPriority w:val="9"/>
    <w:semiHidden/>
    <w:rsid w:val="00047BC6"/>
    <w:rPr>
      <w:rFonts w:asciiTheme="majorHAnsi" w:eastAsiaTheme="majorEastAsia" w:hAnsiTheme="majorHAnsi" w:cstheme="majorBidi"/>
      <w:b/>
      <w:bCs/>
      <w:color w:val="2B0A99" w:themeColor="text2"/>
    </w:rPr>
  </w:style>
  <w:style w:type="character" w:customStyle="1" w:styleId="Heading9Char">
    <w:name w:val="Heading 9 Char"/>
    <w:basedOn w:val="DefaultParagraphFont"/>
    <w:link w:val="Heading9"/>
    <w:uiPriority w:val="9"/>
    <w:semiHidden/>
    <w:rsid w:val="00047BC6"/>
    <w:rPr>
      <w:rFonts w:asciiTheme="majorHAnsi" w:eastAsiaTheme="majorEastAsia" w:hAnsiTheme="majorHAnsi" w:cstheme="majorBidi"/>
      <w:b/>
      <w:bCs/>
      <w:i/>
      <w:iCs/>
      <w:color w:val="2B0A99" w:themeColor="text2"/>
    </w:rPr>
  </w:style>
  <w:style w:type="paragraph" w:customStyle="1" w:styleId="BodyText1">
    <w:name w:val="Body Text1"/>
    <w:basedOn w:val="Normal"/>
    <w:rsid w:val="006674CA"/>
    <w:pPr>
      <w:spacing w:after="200" w:line="260" w:lineRule="exact"/>
    </w:pPr>
  </w:style>
  <w:style w:type="paragraph" w:customStyle="1" w:styleId="BulletsSensitivities11pt">
    <w:name w:val="Bullets Sensitivities 11pt"/>
    <w:basedOn w:val="BulletsSWA"/>
    <w:rsid w:val="00B62357"/>
    <w:pPr>
      <w:spacing w:after="120" w:line="260" w:lineRule="exact"/>
      <w:ind w:left="720" w:hanging="360"/>
    </w:pPr>
    <w:rPr>
      <w:color w:val="404040" w:themeColor="text1" w:themeTint="BF"/>
      <w:sz w:val="22"/>
      <w:szCs w:val="20"/>
    </w:rPr>
  </w:style>
  <w:style w:type="paragraph" w:styleId="Revision">
    <w:name w:val="Revision"/>
    <w:hidden/>
    <w:uiPriority w:val="99"/>
    <w:semiHidden/>
    <w:rsid w:val="00E33BBA"/>
    <w:pPr>
      <w:spacing w:after="0" w:line="240" w:lineRule="auto"/>
    </w:pPr>
    <w:rPr>
      <w:rFonts w:ascii="Arial" w:eastAsia="Times New Roman" w:hAnsi="Arial" w:cs="Times New Roman"/>
      <w:szCs w:val="24"/>
      <w:lang w:eastAsia="en-AU"/>
    </w:rPr>
  </w:style>
  <w:style w:type="paragraph" w:styleId="ListBullet">
    <w:name w:val="List Bullet"/>
    <w:basedOn w:val="Normal"/>
    <w:rsid w:val="006371F4"/>
    <w:pPr>
      <w:numPr>
        <w:numId w:val="9"/>
      </w:numPr>
      <w:spacing w:after="80"/>
      <w:ind w:left="641" w:hanging="357"/>
    </w:pPr>
    <w:rPr>
      <w:rFonts w:eastAsia="Arial"/>
    </w:rPr>
  </w:style>
  <w:style w:type="paragraph" w:customStyle="1" w:styleId="paragraph">
    <w:name w:val="paragraph"/>
    <w:aliases w:val="a"/>
    <w:basedOn w:val="Normal"/>
    <w:link w:val="paragraphChar"/>
    <w:rsid w:val="006371F4"/>
    <w:pPr>
      <w:spacing w:before="100" w:beforeAutospacing="1" w:after="100" w:afterAutospacing="1"/>
    </w:pPr>
    <w:rPr>
      <w:rFonts w:ascii="Times New Roman" w:eastAsia="Times New Roman" w:hAnsi="Times New Roman" w:cs="Times New Roman"/>
      <w:sz w:val="24"/>
      <w:lang w:eastAsia="en-AU"/>
    </w:rPr>
  </w:style>
  <w:style w:type="paragraph" w:customStyle="1" w:styleId="subsection">
    <w:name w:val="subsection"/>
    <w:aliases w:val="ss"/>
    <w:basedOn w:val="Normal"/>
    <w:link w:val="subsectionChar"/>
    <w:rsid w:val="00486E84"/>
    <w:pPr>
      <w:spacing w:before="100" w:beforeAutospacing="1" w:after="100" w:afterAutospacing="1"/>
    </w:pPr>
    <w:rPr>
      <w:rFonts w:ascii="Calibri" w:hAnsi="Calibri" w:cs="Calibri"/>
      <w:szCs w:val="22"/>
    </w:rPr>
  </w:style>
  <w:style w:type="character" w:customStyle="1" w:styleId="subsectionChar">
    <w:name w:val="subsection Char"/>
    <w:aliases w:val="ss Char"/>
    <w:basedOn w:val="DefaultParagraphFont"/>
    <w:link w:val="subsection"/>
    <w:rsid w:val="00486E84"/>
    <w:rPr>
      <w:rFonts w:ascii="Calibri" w:hAnsi="Calibri" w:cs="Calibri"/>
      <w:lang w:eastAsia="en-AU"/>
    </w:rPr>
  </w:style>
  <w:style w:type="character" w:customStyle="1" w:styleId="paragraphChar">
    <w:name w:val="paragraph Char"/>
    <w:aliases w:val="a Char"/>
    <w:basedOn w:val="DefaultParagraphFont"/>
    <w:link w:val="paragraph"/>
    <w:rsid w:val="00486E84"/>
    <w:rPr>
      <w:rFonts w:ascii="Times New Roman" w:eastAsia="Times New Roman" w:hAnsi="Times New Roman" w:cs="Times New Roman"/>
      <w:sz w:val="24"/>
      <w:szCs w:val="24"/>
      <w:lang w:eastAsia="en-AU"/>
    </w:rPr>
  </w:style>
  <w:style w:type="paragraph" w:customStyle="1" w:styleId="NumberingSWA">
    <w:name w:val="Numbering SWA"/>
    <w:basedOn w:val="Normal"/>
    <w:qFormat/>
    <w:rsid w:val="00E65B20"/>
    <w:pPr>
      <w:numPr>
        <w:numId w:val="10"/>
      </w:numPr>
      <w:spacing w:line="240" w:lineRule="exact"/>
    </w:pPr>
    <w:rPr>
      <w:rFonts w:cs="Arial"/>
      <w:color w:val="404040" w:themeColor="text1" w:themeTint="BF"/>
    </w:rPr>
  </w:style>
  <w:style w:type="character" w:customStyle="1" w:styleId="cf01">
    <w:name w:val="cf01"/>
    <w:basedOn w:val="DefaultParagraphFont"/>
    <w:rsid w:val="00920ACE"/>
    <w:rPr>
      <w:rFonts w:ascii="Segoe UI" w:hAnsi="Segoe UI" w:cs="Segoe UI" w:hint="default"/>
      <w:color w:val="44546A"/>
      <w:sz w:val="18"/>
      <w:szCs w:val="18"/>
    </w:rPr>
  </w:style>
  <w:style w:type="character" w:customStyle="1" w:styleId="cf11">
    <w:name w:val="cf11"/>
    <w:basedOn w:val="DefaultParagraphFont"/>
    <w:rsid w:val="00920ACE"/>
    <w:rPr>
      <w:rFonts w:ascii="Segoe UI" w:hAnsi="Segoe UI" w:cs="Segoe UI" w:hint="default"/>
      <w:sz w:val="18"/>
      <w:szCs w:val="18"/>
    </w:rPr>
  </w:style>
  <w:style w:type="character" w:customStyle="1" w:styleId="cf31">
    <w:name w:val="cf31"/>
    <w:basedOn w:val="DefaultParagraphFont"/>
    <w:rsid w:val="00920ACE"/>
    <w:rPr>
      <w:rFonts w:ascii="Segoe UI" w:hAnsi="Segoe UI" w:cs="Segoe UI" w:hint="default"/>
      <w:color w:val="0563C1"/>
      <w:sz w:val="18"/>
      <w:szCs w:val="18"/>
      <w:u w:val="single"/>
    </w:rPr>
  </w:style>
  <w:style w:type="paragraph" w:customStyle="1" w:styleId="pf0">
    <w:name w:val="pf0"/>
    <w:basedOn w:val="Normal"/>
    <w:rsid w:val="008D4A86"/>
    <w:pPr>
      <w:spacing w:before="100" w:beforeAutospacing="1" w:after="100" w:afterAutospacing="1"/>
      <w:ind w:left="720"/>
    </w:pPr>
    <w:rPr>
      <w:rFonts w:ascii="Times New Roman" w:hAnsi="Times New Roman"/>
      <w:sz w:val="24"/>
    </w:rPr>
  </w:style>
  <w:style w:type="paragraph" w:customStyle="1" w:styleId="pf1">
    <w:name w:val="pf1"/>
    <w:basedOn w:val="Normal"/>
    <w:rsid w:val="006339F0"/>
    <w:pPr>
      <w:spacing w:before="100" w:beforeAutospacing="1" w:after="100" w:afterAutospacing="1"/>
      <w:ind w:left="1040"/>
    </w:pPr>
    <w:rPr>
      <w:rFonts w:ascii="Times New Roman" w:hAnsi="Times New Roman"/>
      <w:sz w:val="24"/>
    </w:rPr>
  </w:style>
  <w:style w:type="paragraph" w:customStyle="1" w:styleId="pf2">
    <w:name w:val="pf2"/>
    <w:basedOn w:val="Normal"/>
    <w:rsid w:val="006339F0"/>
    <w:pPr>
      <w:spacing w:before="100" w:beforeAutospacing="1" w:after="100" w:afterAutospacing="1"/>
      <w:ind w:left="320"/>
    </w:pPr>
    <w:rPr>
      <w:rFonts w:ascii="Times New Roman" w:hAnsi="Times New Roman"/>
      <w:sz w:val="24"/>
    </w:rPr>
  </w:style>
  <w:style w:type="character" w:customStyle="1" w:styleId="ui-provider">
    <w:name w:val="ui-provider"/>
    <w:basedOn w:val="DefaultParagraphFont"/>
    <w:rsid w:val="00527BC2"/>
  </w:style>
  <w:style w:type="character" w:styleId="Mention">
    <w:name w:val="Mention"/>
    <w:basedOn w:val="DefaultParagraphFont"/>
    <w:uiPriority w:val="99"/>
    <w:unhideWhenUsed/>
    <w:rsid w:val="00901733"/>
    <w:rPr>
      <w:color w:val="2B579A"/>
      <w:shd w:val="clear" w:color="auto" w:fill="E1DFDD"/>
    </w:rPr>
  </w:style>
  <w:style w:type="character" w:customStyle="1" w:styleId="cf21">
    <w:name w:val="cf21"/>
    <w:basedOn w:val="DefaultParagraphFont"/>
    <w:rsid w:val="003A1D27"/>
    <w:rPr>
      <w:rFonts w:ascii="Segoe UI" w:hAnsi="Segoe UI" w:cs="Segoe UI" w:hint="default"/>
      <w:color w:val="0000FF"/>
      <w:sz w:val="18"/>
      <w:szCs w:val="18"/>
    </w:rPr>
  </w:style>
  <w:style w:type="paragraph" w:customStyle="1" w:styleId="Boxedshaded">
    <w:name w:val="Boxed/shaded"/>
    <w:basedOn w:val="Normal"/>
    <w:rsid w:val="006371F4"/>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ind w:left="284" w:right="284"/>
    </w:pPr>
  </w:style>
  <w:style w:type="paragraph" w:customStyle="1" w:styleId="Disclaimer">
    <w:name w:val="Disclaimer"/>
    <w:basedOn w:val="Normal"/>
    <w:rsid w:val="006371F4"/>
    <w:pPr>
      <w:spacing w:after="60"/>
    </w:pPr>
    <w:rPr>
      <w:sz w:val="16"/>
    </w:rPr>
  </w:style>
  <w:style w:type="paragraph" w:customStyle="1" w:styleId="SWABullets">
    <w:name w:val="SWA Bullets"/>
    <w:basedOn w:val="Normal"/>
    <w:link w:val="SWABulletsChar"/>
    <w:semiHidden/>
    <w:locked/>
    <w:rsid w:val="006371F4"/>
    <w:pPr>
      <w:numPr>
        <w:numId w:val="11"/>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6371F4"/>
    <w:rPr>
      <w:rFonts w:eastAsia="Times New Roman" w:cs="Times New Roman"/>
      <w:lang w:eastAsia="en-AU"/>
    </w:rPr>
  </w:style>
  <w:style w:type="paragraph" w:customStyle="1" w:styleId="TOC">
    <w:name w:val="TOC"/>
    <w:basedOn w:val="TOC1"/>
    <w:link w:val="TOCChar"/>
    <w:rsid w:val="00CC29B5"/>
    <w:pPr>
      <w:tabs>
        <w:tab w:val="right" w:leader="dot" w:pos="9344"/>
      </w:tabs>
      <w:spacing w:before="360" w:after="360"/>
    </w:pPr>
    <w:rPr>
      <w:rFonts w:ascii="Arial Bold" w:eastAsia="Times New Roman" w:hAnsi="Arial Bold"/>
      <w:bCs w:val="0"/>
      <w:sz w:val="32"/>
      <w:szCs w:val="32"/>
    </w:rPr>
  </w:style>
  <w:style w:type="character" w:customStyle="1" w:styleId="TOCChar">
    <w:name w:val="TOC Char"/>
    <w:basedOn w:val="DefaultParagraphFont"/>
    <w:link w:val="TOC"/>
    <w:rsid w:val="00CC29B5"/>
    <w:rPr>
      <w:rFonts w:ascii="Arial Bold" w:eastAsia="Times New Roman" w:hAnsi="Arial Bold"/>
      <w:b/>
      <w:noProof/>
      <w:sz w:val="32"/>
      <w:szCs w:val="32"/>
    </w:rPr>
  </w:style>
  <w:style w:type="paragraph" w:customStyle="1" w:styleId="Link">
    <w:name w:val="Link"/>
    <w:basedOn w:val="Normal"/>
    <w:link w:val="LinkChar"/>
    <w:rsid w:val="006371F4"/>
    <w:pPr>
      <w:spacing w:after="0"/>
    </w:pPr>
    <w:rPr>
      <w:rFonts w:eastAsia="Times New Roman" w:cs="Times New Roman"/>
      <w:lang w:eastAsia="en-AU"/>
    </w:rPr>
  </w:style>
  <w:style w:type="character" w:customStyle="1" w:styleId="LinkChar">
    <w:name w:val="Link Char"/>
    <w:basedOn w:val="DefaultParagraphFont"/>
    <w:link w:val="Link"/>
    <w:rsid w:val="006371F4"/>
    <w:rPr>
      <w:rFonts w:ascii="Arial" w:eastAsia="Times New Roman" w:hAnsi="Arial" w:cs="Times New Roman"/>
      <w:szCs w:val="24"/>
      <w:lang w:eastAsia="en-AU"/>
    </w:rPr>
  </w:style>
  <w:style w:type="character" w:customStyle="1" w:styleId="Emphasised">
    <w:name w:val="Emphasised"/>
    <w:uiPriority w:val="1"/>
    <w:rsid w:val="006371F4"/>
    <w:rPr>
      <w:sz w:val="32"/>
      <w:szCs w:val="32"/>
    </w:rPr>
  </w:style>
  <w:style w:type="paragraph" w:customStyle="1" w:styleId="SWA-NORMAL">
    <w:name w:val="SWA - NORMAL"/>
    <w:basedOn w:val="Normal"/>
    <w:locked/>
    <w:rsid w:val="006371F4"/>
    <w:pPr>
      <w:tabs>
        <w:tab w:val="left" w:pos="425"/>
      </w:tabs>
    </w:pPr>
  </w:style>
  <w:style w:type="paragraph" w:customStyle="1" w:styleId="TableContent">
    <w:name w:val="Table Content"/>
    <w:basedOn w:val="Normal"/>
    <w:link w:val="TableContentChar"/>
    <w:rsid w:val="006371F4"/>
    <w:pPr>
      <w:spacing w:before="120"/>
    </w:pPr>
    <w:rPr>
      <w:b/>
    </w:rPr>
  </w:style>
  <w:style w:type="character" w:customStyle="1" w:styleId="TableContentChar">
    <w:name w:val="Table Content Char"/>
    <w:basedOn w:val="DefaultParagraphFont"/>
    <w:link w:val="TableContent"/>
    <w:rsid w:val="006371F4"/>
    <w:rPr>
      <w:rFonts w:ascii="Arial" w:hAnsi="Arial"/>
      <w:b/>
      <w:szCs w:val="24"/>
    </w:rPr>
  </w:style>
  <w:style w:type="paragraph" w:customStyle="1" w:styleId="Reporttitle">
    <w:name w:val="Report title"/>
    <w:basedOn w:val="Normal"/>
    <w:uiPriority w:val="19"/>
    <w:rsid w:val="006371F4"/>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rsid w:val="006371F4"/>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rsid w:val="006371F4"/>
    <w:pPr>
      <w:keepNext/>
      <w:spacing w:after="240" w:line="240" w:lineRule="atLeast"/>
    </w:pPr>
    <w:rPr>
      <w:rFonts w:eastAsia="Times New Roman"/>
      <w:sz w:val="24"/>
      <w:lang w:eastAsia="en-AU"/>
    </w:rPr>
  </w:style>
  <w:style w:type="paragraph" w:customStyle="1" w:styleId="Paragraphbeforelist">
    <w:name w:val="Paragraph before list"/>
    <w:basedOn w:val="Paragraph0"/>
    <w:uiPriority w:val="4"/>
    <w:rsid w:val="006371F4"/>
    <w:pPr>
      <w:spacing w:after="80"/>
    </w:pPr>
  </w:style>
  <w:style w:type="paragraph" w:customStyle="1" w:styleId="Bulletlevel1">
    <w:name w:val="Bullet level 1"/>
    <w:basedOn w:val="ListBullet"/>
    <w:uiPriority w:val="5"/>
    <w:rsid w:val="006371F4"/>
    <w:pPr>
      <w:numPr>
        <w:numId w:val="0"/>
      </w:numPr>
      <w:spacing w:line="240" w:lineRule="atLeast"/>
      <w:ind w:left="295" w:hanging="360"/>
    </w:pPr>
    <w:rPr>
      <w:lang w:eastAsia="en-AU"/>
    </w:rPr>
  </w:style>
  <w:style w:type="paragraph" w:customStyle="1" w:styleId="Paragraph0">
    <w:name w:val="Paragraph"/>
    <w:basedOn w:val="Normal"/>
    <w:qFormat/>
    <w:rsid w:val="00B4496C"/>
    <w:pPr>
      <w:keepLines/>
      <w:widowControl w:val="0"/>
      <w:spacing w:after="200" w:line="240" w:lineRule="auto"/>
    </w:pPr>
    <w:rPr>
      <w:rFonts w:eastAsia="Times New Roman"/>
      <w:lang w:eastAsia="en-AU"/>
    </w:rPr>
  </w:style>
  <w:style w:type="paragraph" w:customStyle="1" w:styleId="Bulletlevel2">
    <w:name w:val="Bullet level 2"/>
    <w:basedOn w:val="ListBullet2"/>
    <w:uiPriority w:val="7"/>
    <w:rsid w:val="006371F4"/>
    <w:pPr>
      <w:numPr>
        <w:numId w:val="12"/>
      </w:numPr>
      <w:spacing w:line="240" w:lineRule="atLeast"/>
    </w:pPr>
    <w:rPr>
      <w:rFonts w:eastAsia="Times New Roman"/>
      <w:lang w:eastAsia="en-AU"/>
    </w:rPr>
  </w:style>
  <w:style w:type="paragraph" w:styleId="ListBullet2">
    <w:name w:val="List Bullet 2"/>
    <w:basedOn w:val="Normal"/>
    <w:rsid w:val="006371F4"/>
    <w:pPr>
      <w:numPr>
        <w:numId w:val="13"/>
      </w:numPr>
      <w:spacing w:after="80"/>
      <w:ind w:left="641" w:hanging="357"/>
    </w:pPr>
  </w:style>
  <w:style w:type="paragraph" w:customStyle="1" w:styleId="Bulletlevel2last">
    <w:name w:val="Bullet level 2 last"/>
    <w:basedOn w:val="Bulletlevel2"/>
    <w:uiPriority w:val="8"/>
    <w:rsid w:val="006371F4"/>
    <w:pPr>
      <w:spacing w:after="240"/>
    </w:pPr>
  </w:style>
  <w:style w:type="paragraph" w:customStyle="1" w:styleId="SWAHeading2">
    <w:name w:val="SWA Heading 2"/>
    <w:next w:val="Paragraph0"/>
    <w:link w:val="SWAHeading2Char"/>
    <w:qFormat/>
    <w:rsid w:val="00CC29B5"/>
    <w:pPr>
      <w:numPr>
        <w:ilvl w:val="1"/>
        <w:numId w:val="15"/>
      </w:numPr>
      <w:spacing w:before="200" w:line="276" w:lineRule="auto"/>
      <w:ind w:left="709" w:hanging="715"/>
      <w:outlineLvl w:val="1"/>
    </w:pPr>
    <w:rPr>
      <w:rFonts w:ascii="Arial" w:eastAsiaTheme="majorEastAsia" w:hAnsi="Arial" w:cstheme="majorBidi"/>
      <w:b/>
      <w:bCs/>
      <w:iCs/>
      <w:color w:val="490C61" w:themeColor="accent4"/>
      <w:sz w:val="32"/>
      <w:szCs w:val="40"/>
    </w:rPr>
  </w:style>
  <w:style w:type="character" w:customStyle="1" w:styleId="SWAHeading2Char">
    <w:name w:val="SWA Heading 2 Char"/>
    <w:basedOn w:val="Heading2Char"/>
    <w:link w:val="SWAHeading2"/>
    <w:rsid w:val="00CC29B5"/>
    <w:rPr>
      <w:rFonts w:ascii="Arial" w:eastAsiaTheme="majorEastAsia" w:hAnsi="Arial" w:cstheme="majorBidi"/>
      <w:b/>
      <w:bCs/>
      <w:iCs/>
      <w:color w:val="490C61" w:themeColor="accent4"/>
      <w:sz w:val="32"/>
      <w:szCs w:val="40"/>
    </w:rPr>
  </w:style>
  <w:style w:type="paragraph" w:styleId="ListNumber2">
    <w:name w:val="List Number 2"/>
    <w:aliases w:val="alpha"/>
    <w:basedOn w:val="Normal"/>
    <w:rsid w:val="006371F4"/>
    <w:pPr>
      <w:numPr>
        <w:numId w:val="14"/>
      </w:numPr>
      <w:spacing w:after="80"/>
      <w:ind w:left="998" w:hanging="357"/>
    </w:pPr>
    <w:rPr>
      <w:rFonts w:eastAsia="Times New Roman" w:cs="Times New Roman"/>
    </w:rPr>
  </w:style>
  <w:style w:type="paragraph" w:styleId="Subtitle">
    <w:name w:val="Subtitle"/>
    <w:basedOn w:val="Normal"/>
    <w:next w:val="Normal"/>
    <w:link w:val="SubtitleChar"/>
    <w:uiPriority w:val="11"/>
    <w:qFormat/>
    <w:rsid w:val="00047BC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047BC6"/>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047BC6"/>
    <w:pPr>
      <w:pBdr>
        <w:left w:val="single" w:sz="18" w:space="12" w:color="4877E0" w:themeColor="accent1"/>
      </w:pBdr>
      <w:spacing w:before="100" w:beforeAutospacing="1" w:line="300" w:lineRule="auto"/>
      <w:ind w:left="1224" w:right="1224"/>
    </w:pPr>
    <w:rPr>
      <w:rFonts w:asciiTheme="majorHAnsi" w:eastAsiaTheme="majorEastAsia" w:hAnsiTheme="majorHAnsi" w:cstheme="majorBidi"/>
      <w:color w:val="4877E0" w:themeColor="accent1"/>
      <w:sz w:val="28"/>
      <w:szCs w:val="28"/>
    </w:rPr>
  </w:style>
  <w:style w:type="character" w:customStyle="1" w:styleId="IntenseQuoteChar">
    <w:name w:val="Intense Quote Char"/>
    <w:basedOn w:val="DefaultParagraphFont"/>
    <w:link w:val="IntenseQuote"/>
    <w:uiPriority w:val="30"/>
    <w:rsid w:val="00047BC6"/>
    <w:rPr>
      <w:rFonts w:asciiTheme="majorHAnsi" w:eastAsiaTheme="majorEastAsia" w:hAnsiTheme="majorHAnsi" w:cstheme="majorBidi"/>
      <w:color w:val="4877E0" w:themeColor="accent1"/>
      <w:sz w:val="28"/>
      <w:szCs w:val="28"/>
    </w:rPr>
  </w:style>
  <w:style w:type="paragraph" w:customStyle="1" w:styleId="Boxed">
    <w:name w:val="Boxed"/>
    <w:basedOn w:val="Normal"/>
    <w:rsid w:val="006371F4"/>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customStyle="1" w:styleId="Titledate">
    <w:name w:val="Title date"/>
    <w:basedOn w:val="TOC1"/>
    <w:rsid w:val="006371F4"/>
    <w:pPr>
      <w:tabs>
        <w:tab w:val="left" w:pos="357"/>
        <w:tab w:val="right" w:leader="dot" w:pos="9072"/>
      </w:tabs>
    </w:pPr>
    <w:rPr>
      <w:bCs w:val="0"/>
      <w:caps/>
      <w:sz w:val="36"/>
      <w:szCs w:val="36"/>
    </w:rPr>
  </w:style>
  <w:style w:type="paragraph" w:customStyle="1" w:styleId="SWAHeading1">
    <w:name w:val="SWA Heading 1"/>
    <w:next w:val="Paragraph0"/>
    <w:qFormat/>
    <w:rsid w:val="006371F4"/>
    <w:pPr>
      <w:pageBreakBefore/>
      <w:numPr>
        <w:numId w:val="15"/>
      </w:numPr>
      <w:spacing w:before="240" w:line="276" w:lineRule="auto"/>
      <w:ind w:left="709" w:hanging="709"/>
      <w:outlineLvl w:val="0"/>
    </w:pPr>
    <w:rPr>
      <w:rFonts w:ascii="Arial" w:hAnsi="Arial" w:cs="Arial"/>
      <w:b/>
      <w:bCs/>
      <w:sz w:val="40"/>
      <w:szCs w:val="40"/>
    </w:rPr>
  </w:style>
  <w:style w:type="paragraph" w:customStyle="1" w:styleId="Emphasisquote">
    <w:name w:val="Emphasis quote"/>
    <w:next w:val="Paragraph0"/>
    <w:link w:val="EmphasisquoteChar"/>
    <w:rsid w:val="006371F4"/>
    <w:pPr>
      <w:pBdr>
        <w:left w:val="single" w:sz="12" w:space="14" w:color="4877E0" w:themeColor="accent1"/>
      </w:pBdr>
      <w:spacing w:before="240" w:after="240" w:line="240" w:lineRule="auto"/>
      <w:ind w:left="720" w:right="2552"/>
    </w:pPr>
    <w:rPr>
      <w:rFonts w:ascii="Arial" w:hAnsi="Arial"/>
      <w:szCs w:val="24"/>
    </w:rPr>
  </w:style>
  <w:style w:type="character" w:styleId="BookTitle">
    <w:name w:val="Book Title"/>
    <w:basedOn w:val="DefaultParagraphFont"/>
    <w:uiPriority w:val="33"/>
    <w:qFormat/>
    <w:rsid w:val="00047BC6"/>
    <w:rPr>
      <w:b/>
      <w:bCs/>
      <w:smallCaps/>
    </w:rPr>
  </w:style>
  <w:style w:type="character" w:customStyle="1" w:styleId="EmphasisquoteChar">
    <w:name w:val="Emphasis quote Char"/>
    <w:basedOn w:val="QuoteChar"/>
    <w:link w:val="Emphasisquote"/>
    <w:rsid w:val="006371F4"/>
    <w:rPr>
      <w:rFonts w:ascii="Arial" w:hAnsi="Arial"/>
      <w:i w:val="0"/>
      <w:iCs/>
      <w:color w:val="404040" w:themeColor="text1" w:themeTint="BF"/>
      <w:szCs w:val="24"/>
    </w:rPr>
  </w:style>
  <w:style w:type="character" w:customStyle="1" w:styleId="normaltextrun">
    <w:name w:val="normaltextrun"/>
    <w:basedOn w:val="DefaultParagraphFont"/>
    <w:rsid w:val="006371F4"/>
  </w:style>
  <w:style w:type="character" w:customStyle="1" w:styleId="eop">
    <w:name w:val="eop"/>
    <w:basedOn w:val="DefaultParagraphFont"/>
    <w:rsid w:val="006371F4"/>
  </w:style>
  <w:style w:type="paragraph" w:customStyle="1" w:styleId="SWA1stHeading">
    <w:name w:val="SWA 1st Heading"/>
    <w:basedOn w:val="Normal"/>
    <w:link w:val="SWA1stHeadingChar"/>
    <w:rsid w:val="006371F4"/>
  </w:style>
  <w:style w:type="paragraph" w:customStyle="1" w:styleId="ListParagraphh1">
    <w:name w:val="List Paragraph h1"/>
    <w:aliases w:val="SWA heading 1"/>
    <w:basedOn w:val="SWAHeading1"/>
    <w:next w:val="ListParagraphbodycopy"/>
    <w:link w:val="ListParagraphh1Char"/>
    <w:rsid w:val="006371F4"/>
    <w:pPr>
      <w:pageBreakBefore w:val="0"/>
      <w:numPr>
        <w:numId w:val="0"/>
      </w:numPr>
    </w:pPr>
  </w:style>
  <w:style w:type="paragraph" w:customStyle="1" w:styleId="ListParagraphbodycopy">
    <w:name w:val="List Paragraph body copy"/>
    <w:basedOn w:val="SWA1stHeading"/>
    <w:link w:val="ListParagraphbodycopyChar"/>
    <w:rsid w:val="006371F4"/>
    <w:rPr>
      <w:rFonts w:cs="Arial"/>
      <w:sz w:val="40"/>
    </w:rPr>
  </w:style>
  <w:style w:type="character" w:customStyle="1" w:styleId="SWA1stHeadingChar">
    <w:name w:val="SWA 1st Heading Char"/>
    <w:basedOn w:val="DefaultParagraphFont"/>
    <w:link w:val="SWA1stHeading"/>
    <w:rsid w:val="006371F4"/>
    <w:rPr>
      <w:rFonts w:ascii="Arial" w:hAnsi="Arial"/>
      <w:szCs w:val="24"/>
    </w:rPr>
  </w:style>
  <w:style w:type="character" w:customStyle="1" w:styleId="ListParagraphh1Char">
    <w:name w:val="List Paragraph h1 Char"/>
    <w:aliases w:val="SWA heading 1 Char"/>
    <w:basedOn w:val="SWA1stHeadingChar"/>
    <w:link w:val="ListParagraphh1"/>
    <w:rsid w:val="006371F4"/>
    <w:rPr>
      <w:rFonts w:ascii="Arial" w:hAnsi="Arial" w:cs="Arial"/>
      <w:b/>
      <w:bCs/>
      <w:sz w:val="40"/>
      <w:szCs w:val="40"/>
    </w:rPr>
  </w:style>
  <w:style w:type="character" w:customStyle="1" w:styleId="ListParagraphbodycopyChar">
    <w:name w:val="List Paragraph body copy Char"/>
    <w:basedOn w:val="ListParagraphh1Char"/>
    <w:link w:val="ListParagraphbodycopy"/>
    <w:rsid w:val="006371F4"/>
    <w:rPr>
      <w:rFonts w:ascii="Arial" w:hAnsi="Arial" w:cs="Arial"/>
      <w:b w:val="0"/>
      <w:bCs w:val="0"/>
      <w:sz w:val="40"/>
      <w:szCs w:val="24"/>
    </w:rPr>
  </w:style>
  <w:style w:type="paragraph" w:customStyle="1" w:styleId="SWAHeading3">
    <w:name w:val="SWA Heading 3"/>
    <w:next w:val="Paragraph0"/>
    <w:rsid w:val="003F76E3"/>
    <w:pPr>
      <w:spacing w:before="240" w:line="276" w:lineRule="auto"/>
    </w:pPr>
    <w:rPr>
      <w:rFonts w:ascii="Arial" w:hAnsi="Arial" w:cs="Arial"/>
      <w:color w:val="262626" w:themeColor="text1" w:themeTint="D9"/>
      <w:sz w:val="28"/>
      <w:szCs w:val="32"/>
    </w:rPr>
  </w:style>
  <w:style w:type="paragraph" w:customStyle="1" w:styleId="SWAHeading4">
    <w:name w:val="SWA Heading 4"/>
    <w:rsid w:val="006371F4"/>
    <w:pPr>
      <w:spacing w:after="200" w:line="276" w:lineRule="auto"/>
    </w:pPr>
    <w:rPr>
      <w:rFonts w:ascii="Arial" w:eastAsiaTheme="majorEastAsia" w:hAnsi="Arial" w:cs="Arial"/>
      <w:b/>
      <w:bCs/>
      <w:i/>
      <w:iCs/>
      <w:sz w:val="24"/>
      <w:szCs w:val="28"/>
    </w:rPr>
  </w:style>
  <w:style w:type="paragraph" w:customStyle="1" w:styleId="SWAHeading5">
    <w:name w:val="SWA Heading 5"/>
    <w:rsid w:val="006371F4"/>
    <w:pPr>
      <w:spacing w:before="240" w:after="200"/>
    </w:pPr>
    <w:rPr>
      <w:rFonts w:ascii="Arial" w:eastAsiaTheme="majorEastAsia" w:hAnsi="Arial" w:cs="Arial"/>
      <w:b/>
      <w:bCs/>
      <w:color w:val="7F7F7F" w:themeColor="text1" w:themeTint="80"/>
      <w:sz w:val="24"/>
    </w:rPr>
  </w:style>
  <w:style w:type="paragraph" w:customStyle="1" w:styleId="NumberingBulletsSWA">
    <w:name w:val="Numbering Bullets SWA"/>
    <w:basedOn w:val="Normal"/>
    <w:rsid w:val="005F027A"/>
    <w:pPr>
      <w:spacing w:line="240" w:lineRule="exact"/>
      <w:ind w:left="360" w:hanging="360"/>
    </w:pPr>
    <w:rPr>
      <w:rFonts w:cs="Arial"/>
      <w:color w:val="404040" w:themeColor="text1" w:themeTint="BF"/>
    </w:rPr>
  </w:style>
  <w:style w:type="character" w:styleId="SubtleReference">
    <w:name w:val="Subtle Reference"/>
    <w:basedOn w:val="DefaultParagraphFont"/>
    <w:uiPriority w:val="31"/>
    <w:qFormat/>
    <w:rsid w:val="00047BC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47BC6"/>
    <w:rPr>
      <w:b/>
      <w:bCs/>
      <w:smallCaps/>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4">
      <w:bodyDiv w:val="1"/>
      <w:marLeft w:val="0"/>
      <w:marRight w:val="0"/>
      <w:marTop w:val="0"/>
      <w:marBottom w:val="0"/>
      <w:divBdr>
        <w:top w:val="none" w:sz="0" w:space="0" w:color="auto"/>
        <w:left w:val="none" w:sz="0" w:space="0" w:color="auto"/>
        <w:bottom w:val="none" w:sz="0" w:space="0" w:color="auto"/>
        <w:right w:val="none" w:sz="0" w:space="0" w:color="auto"/>
      </w:divBdr>
    </w:div>
    <w:div w:id="10299202">
      <w:bodyDiv w:val="1"/>
      <w:marLeft w:val="0"/>
      <w:marRight w:val="0"/>
      <w:marTop w:val="0"/>
      <w:marBottom w:val="0"/>
      <w:divBdr>
        <w:top w:val="none" w:sz="0" w:space="0" w:color="auto"/>
        <w:left w:val="none" w:sz="0" w:space="0" w:color="auto"/>
        <w:bottom w:val="none" w:sz="0" w:space="0" w:color="auto"/>
        <w:right w:val="none" w:sz="0" w:space="0" w:color="auto"/>
      </w:divBdr>
    </w:div>
    <w:div w:id="26876608">
      <w:bodyDiv w:val="1"/>
      <w:marLeft w:val="0"/>
      <w:marRight w:val="0"/>
      <w:marTop w:val="0"/>
      <w:marBottom w:val="0"/>
      <w:divBdr>
        <w:top w:val="none" w:sz="0" w:space="0" w:color="auto"/>
        <w:left w:val="none" w:sz="0" w:space="0" w:color="auto"/>
        <w:bottom w:val="none" w:sz="0" w:space="0" w:color="auto"/>
        <w:right w:val="none" w:sz="0" w:space="0" w:color="auto"/>
      </w:divBdr>
    </w:div>
    <w:div w:id="29112189">
      <w:bodyDiv w:val="1"/>
      <w:marLeft w:val="0"/>
      <w:marRight w:val="0"/>
      <w:marTop w:val="0"/>
      <w:marBottom w:val="0"/>
      <w:divBdr>
        <w:top w:val="none" w:sz="0" w:space="0" w:color="auto"/>
        <w:left w:val="none" w:sz="0" w:space="0" w:color="auto"/>
        <w:bottom w:val="none" w:sz="0" w:space="0" w:color="auto"/>
        <w:right w:val="none" w:sz="0" w:space="0" w:color="auto"/>
      </w:divBdr>
    </w:div>
    <w:div w:id="34083875">
      <w:bodyDiv w:val="1"/>
      <w:marLeft w:val="0"/>
      <w:marRight w:val="0"/>
      <w:marTop w:val="0"/>
      <w:marBottom w:val="0"/>
      <w:divBdr>
        <w:top w:val="none" w:sz="0" w:space="0" w:color="auto"/>
        <w:left w:val="none" w:sz="0" w:space="0" w:color="auto"/>
        <w:bottom w:val="none" w:sz="0" w:space="0" w:color="auto"/>
        <w:right w:val="none" w:sz="0" w:space="0" w:color="auto"/>
      </w:divBdr>
    </w:div>
    <w:div w:id="47653339">
      <w:bodyDiv w:val="1"/>
      <w:marLeft w:val="0"/>
      <w:marRight w:val="0"/>
      <w:marTop w:val="0"/>
      <w:marBottom w:val="0"/>
      <w:divBdr>
        <w:top w:val="none" w:sz="0" w:space="0" w:color="auto"/>
        <w:left w:val="none" w:sz="0" w:space="0" w:color="auto"/>
        <w:bottom w:val="none" w:sz="0" w:space="0" w:color="auto"/>
        <w:right w:val="none" w:sz="0" w:space="0" w:color="auto"/>
      </w:divBdr>
    </w:div>
    <w:div w:id="53084252">
      <w:bodyDiv w:val="1"/>
      <w:marLeft w:val="0"/>
      <w:marRight w:val="0"/>
      <w:marTop w:val="0"/>
      <w:marBottom w:val="0"/>
      <w:divBdr>
        <w:top w:val="none" w:sz="0" w:space="0" w:color="auto"/>
        <w:left w:val="none" w:sz="0" w:space="0" w:color="auto"/>
        <w:bottom w:val="none" w:sz="0" w:space="0" w:color="auto"/>
        <w:right w:val="none" w:sz="0" w:space="0" w:color="auto"/>
      </w:divBdr>
    </w:div>
    <w:div w:id="61417423">
      <w:bodyDiv w:val="1"/>
      <w:marLeft w:val="0"/>
      <w:marRight w:val="0"/>
      <w:marTop w:val="0"/>
      <w:marBottom w:val="0"/>
      <w:divBdr>
        <w:top w:val="none" w:sz="0" w:space="0" w:color="auto"/>
        <w:left w:val="none" w:sz="0" w:space="0" w:color="auto"/>
        <w:bottom w:val="none" w:sz="0" w:space="0" w:color="auto"/>
        <w:right w:val="none" w:sz="0" w:space="0" w:color="auto"/>
      </w:divBdr>
    </w:div>
    <w:div w:id="75447329">
      <w:bodyDiv w:val="1"/>
      <w:marLeft w:val="0"/>
      <w:marRight w:val="0"/>
      <w:marTop w:val="0"/>
      <w:marBottom w:val="0"/>
      <w:divBdr>
        <w:top w:val="none" w:sz="0" w:space="0" w:color="auto"/>
        <w:left w:val="none" w:sz="0" w:space="0" w:color="auto"/>
        <w:bottom w:val="none" w:sz="0" w:space="0" w:color="auto"/>
        <w:right w:val="none" w:sz="0" w:space="0" w:color="auto"/>
      </w:divBdr>
    </w:div>
    <w:div w:id="80488015">
      <w:bodyDiv w:val="1"/>
      <w:marLeft w:val="0"/>
      <w:marRight w:val="0"/>
      <w:marTop w:val="0"/>
      <w:marBottom w:val="0"/>
      <w:divBdr>
        <w:top w:val="none" w:sz="0" w:space="0" w:color="auto"/>
        <w:left w:val="none" w:sz="0" w:space="0" w:color="auto"/>
        <w:bottom w:val="none" w:sz="0" w:space="0" w:color="auto"/>
        <w:right w:val="none" w:sz="0" w:space="0" w:color="auto"/>
      </w:divBdr>
    </w:div>
    <w:div w:id="94595910">
      <w:bodyDiv w:val="1"/>
      <w:marLeft w:val="0"/>
      <w:marRight w:val="0"/>
      <w:marTop w:val="0"/>
      <w:marBottom w:val="0"/>
      <w:divBdr>
        <w:top w:val="none" w:sz="0" w:space="0" w:color="auto"/>
        <w:left w:val="none" w:sz="0" w:space="0" w:color="auto"/>
        <w:bottom w:val="none" w:sz="0" w:space="0" w:color="auto"/>
        <w:right w:val="none" w:sz="0" w:space="0" w:color="auto"/>
      </w:divBdr>
    </w:div>
    <w:div w:id="118886714">
      <w:bodyDiv w:val="1"/>
      <w:marLeft w:val="0"/>
      <w:marRight w:val="0"/>
      <w:marTop w:val="0"/>
      <w:marBottom w:val="0"/>
      <w:divBdr>
        <w:top w:val="none" w:sz="0" w:space="0" w:color="auto"/>
        <w:left w:val="none" w:sz="0" w:space="0" w:color="auto"/>
        <w:bottom w:val="none" w:sz="0" w:space="0" w:color="auto"/>
        <w:right w:val="none" w:sz="0" w:space="0" w:color="auto"/>
      </w:divBdr>
    </w:div>
    <w:div w:id="141970401">
      <w:bodyDiv w:val="1"/>
      <w:marLeft w:val="0"/>
      <w:marRight w:val="0"/>
      <w:marTop w:val="0"/>
      <w:marBottom w:val="0"/>
      <w:divBdr>
        <w:top w:val="none" w:sz="0" w:space="0" w:color="auto"/>
        <w:left w:val="none" w:sz="0" w:space="0" w:color="auto"/>
        <w:bottom w:val="none" w:sz="0" w:space="0" w:color="auto"/>
        <w:right w:val="none" w:sz="0" w:space="0" w:color="auto"/>
      </w:divBdr>
    </w:div>
    <w:div w:id="160971700">
      <w:bodyDiv w:val="1"/>
      <w:marLeft w:val="0"/>
      <w:marRight w:val="0"/>
      <w:marTop w:val="0"/>
      <w:marBottom w:val="0"/>
      <w:divBdr>
        <w:top w:val="none" w:sz="0" w:space="0" w:color="auto"/>
        <w:left w:val="none" w:sz="0" w:space="0" w:color="auto"/>
        <w:bottom w:val="none" w:sz="0" w:space="0" w:color="auto"/>
        <w:right w:val="none" w:sz="0" w:space="0" w:color="auto"/>
      </w:divBdr>
    </w:div>
    <w:div w:id="172189755">
      <w:bodyDiv w:val="1"/>
      <w:marLeft w:val="0"/>
      <w:marRight w:val="0"/>
      <w:marTop w:val="0"/>
      <w:marBottom w:val="0"/>
      <w:divBdr>
        <w:top w:val="none" w:sz="0" w:space="0" w:color="auto"/>
        <w:left w:val="none" w:sz="0" w:space="0" w:color="auto"/>
        <w:bottom w:val="none" w:sz="0" w:space="0" w:color="auto"/>
        <w:right w:val="none" w:sz="0" w:space="0" w:color="auto"/>
      </w:divBdr>
    </w:div>
    <w:div w:id="174073719">
      <w:bodyDiv w:val="1"/>
      <w:marLeft w:val="0"/>
      <w:marRight w:val="0"/>
      <w:marTop w:val="0"/>
      <w:marBottom w:val="0"/>
      <w:divBdr>
        <w:top w:val="none" w:sz="0" w:space="0" w:color="auto"/>
        <w:left w:val="none" w:sz="0" w:space="0" w:color="auto"/>
        <w:bottom w:val="none" w:sz="0" w:space="0" w:color="auto"/>
        <w:right w:val="none" w:sz="0" w:space="0" w:color="auto"/>
      </w:divBdr>
    </w:div>
    <w:div w:id="175851745">
      <w:bodyDiv w:val="1"/>
      <w:marLeft w:val="0"/>
      <w:marRight w:val="0"/>
      <w:marTop w:val="0"/>
      <w:marBottom w:val="0"/>
      <w:divBdr>
        <w:top w:val="none" w:sz="0" w:space="0" w:color="auto"/>
        <w:left w:val="none" w:sz="0" w:space="0" w:color="auto"/>
        <w:bottom w:val="none" w:sz="0" w:space="0" w:color="auto"/>
        <w:right w:val="none" w:sz="0" w:space="0" w:color="auto"/>
      </w:divBdr>
    </w:div>
    <w:div w:id="179514876">
      <w:bodyDiv w:val="1"/>
      <w:marLeft w:val="0"/>
      <w:marRight w:val="0"/>
      <w:marTop w:val="0"/>
      <w:marBottom w:val="0"/>
      <w:divBdr>
        <w:top w:val="none" w:sz="0" w:space="0" w:color="auto"/>
        <w:left w:val="none" w:sz="0" w:space="0" w:color="auto"/>
        <w:bottom w:val="none" w:sz="0" w:space="0" w:color="auto"/>
        <w:right w:val="none" w:sz="0" w:space="0" w:color="auto"/>
      </w:divBdr>
    </w:div>
    <w:div w:id="183978141">
      <w:bodyDiv w:val="1"/>
      <w:marLeft w:val="0"/>
      <w:marRight w:val="0"/>
      <w:marTop w:val="0"/>
      <w:marBottom w:val="0"/>
      <w:divBdr>
        <w:top w:val="none" w:sz="0" w:space="0" w:color="auto"/>
        <w:left w:val="none" w:sz="0" w:space="0" w:color="auto"/>
        <w:bottom w:val="none" w:sz="0" w:space="0" w:color="auto"/>
        <w:right w:val="none" w:sz="0" w:space="0" w:color="auto"/>
      </w:divBdr>
    </w:div>
    <w:div w:id="188373537">
      <w:bodyDiv w:val="1"/>
      <w:marLeft w:val="0"/>
      <w:marRight w:val="0"/>
      <w:marTop w:val="0"/>
      <w:marBottom w:val="0"/>
      <w:divBdr>
        <w:top w:val="none" w:sz="0" w:space="0" w:color="auto"/>
        <w:left w:val="none" w:sz="0" w:space="0" w:color="auto"/>
        <w:bottom w:val="none" w:sz="0" w:space="0" w:color="auto"/>
        <w:right w:val="none" w:sz="0" w:space="0" w:color="auto"/>
      </w:divBdr>
    </w:div>
    <w:div w:id="195705991">
      <w:bodyDiv w:val="1"/>
      <w:marLeft w:val="0"/>
      <w:marRight w:val="0"/>
      <w:marTop w:val="0"/>
      <w:marBottom w:val="0"/>
      <w:divBdr>
        <w:top w:val="none" w:sz="0" w:space="0" w:color="auto"/>
        <w:left w:val="none" w:sz="0" w:space="0" w:color="auto"/>
        <w:bottom w:val="none" w:sz="0" w:space="0" w:color="auto"/>
        <w:right w:val="none" w:sz="0" w:space="0" w:color="auto"/>
      </w:divBdr>
    </w:div>
    <w:div w:id="201406450">
      <w:bodyDiv w:val="1"/>
      <w:marLeft w:val="0"/>
      <w:marRight w:val="0"/>
      <w:marTop w:val="0"/>
      <w:marBottom w:val="0"/>
      <w:divBdr>
        <w:top w:val="none" w:sz="0" w:space="0" w:color="auto"/>
        <w:left w:val="none" w:sz="0" w:space="0" w:color="auto"/>
        <w:bottom w:val="none" w:sz="0" w:space="0" w:color="auto"/>
        <w:right w:val="none" w:sz="0" w:space="0" w:color="auto"/>
      </w:divBdr>
    </w:div>
    <w:div w:id="202720209">
      <w:bodyDiv w:val="1"/>
      <w:marLeft w:val="0"/>
      <w:marRight w:val="0"/>
      <w:marTop w:val="0"/>
      <w:marBottom w:val="0"/>
      <w:divBdr>
        <w:top w:val="none" w:sz="0" w:space="0" w:color="auto"/>
        <w:left w:val="none" w:sz="0" w:space="0" w:color="auto"/>
        <w:bottom w:val="none" w:sz="0" w:space="0" w:color="auto"/>
        <w:right w:val="none" w:sz="0" w:space="0" w:color="auto"/>
      </w:divBdr>
    </w:div>
    <w:div w:id="224800618">
      <w:bodyDiv w:val="1"/>
      <w:marLeft w:val="0"/>
      <w:marRight w:val="0"/>
      <w:marTop w:val="0"/>
      <w:marBottom w:val="0"/>
      <w:divBdr>
        <w:top w:val="none" w:sz="0" w:space="0" w:color="auto"/>
        <w:left w:val="none" w:sz="0" w:space="0" w:color="auto"/>
        <w:bottom w:val="none" w:sz="0" w:space="0" w:color="auto"/>
        <w:right w:val="none" w:sz="0" w:space="0" w:color="auto"/>
      </w:divBdr>
    </w:div>
    <w:div w:id="227961808">
      <w:bodyDiv w:val="1"/>
      <w:marLeft w:val="0"/>
      <w:marRight w:val="0"/>
      <w:marTop w:val="0"/>
      <w:marBottom w:val="0"/>
      <w:divBdr>
        <w:top w:val="none" w:sz="0" w:space="0" w:color="auto"/>
        <w:left w:val="none" w:sz="0" w:space="0" w:color="auto"/>
        <w:bottom w:val="none" w:sz="0" w:space="0" w:color="auto"/>
        <w:right w:val="none" w:sz="0" w:space="0" w:color="auto"/>
      </w:divBdr>
    </w:div>
    <w:div w:id="260450616">
      <w:bodyDiv w:val="1"/>
      <w:marLeft w:val="0"/>
      <w:marRight w:val="0"/>
      <w:marTop w:val="0"/>
      <w:marBottom w:val="0"/>
      <w:divBdr>
        <w:top w:val="none" w:sz="0" w:space="0" w:color="auto"/>
        <w:left w:val="none" w:sz="0" w:space="0" w:color="auto"/>
        <w:bottom w:val="none" w:sz="0" w:space="0" w:color="auto"/>
        <w:right w:val="none" w:sz="0" w:space="0" w:color="auto"/>
      </w:divBdr>
    </w:div>
    <w:div w:id="290789767">
      <w:bodyDiv w:val="1"/>
      <w:marLeft w:val="0"/>
      <w:marRight w:val="0"/>
      <w:marTop w:val="0"/>
      <w:marBottom w:val="0"/>
      <w:divBdr>
        <w:top w:val="none" w:sz="0" w:space="0" w:color="auto"/>
        <w:left w:val="none" w:sz="0" w:space="0" w:color="auto"/>
        <w:bottom w:val="none" w:sz="0" w:space="0" w:color="auto"/>
        <w:right w:val="none" w:sz="0" w:space="0" w:color="auto"/>
      </w:divBdr>
    </w:div>
    <w:div w:id="295835698">
      <w:bodyDiv w:val="1"/>
      <w:marLeft w:val="0"/>
      <w:marRight w:val="0"/>
      <w:marTop w:val="0"/>
      <w:marBottom w:val="0"/>
      <w:divBdr>
        <w:top w:val="none" w:sz="0" w:space="0" w:color="auto"/>
        <w:left w:val="none" w:sz="0" w:space="0" w:color="auto"/>
        <w:bottom w:val="none" w:sz="0" w:space="0" w:color="auto"/>
        <w:right w:val="none" w:sz="0" w:space="0" w:color="auto"/>
      </w:divBdr>
      <w:divsChild>
        <w:div w:id="6946209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96304827">
      <w:bodyDiv w:val="1"/>
      <w:marLeft w:val="0"/>
      <w:marRight w:val="0"/>
      <w:marTop w:val="0"/>
      <w:marBottom w:val="0"/>
      <w:divBdr>
        <w:top w:val="none" w:sz="0" w:space="0" w:color="auto"/>
        <w:left w:val="none" w:sz="0" w:space="0" w:color="auto"/>
        <w:bottom w:val="none" w:sz="0" w:space="0" w:color="auto"/>
        <w:right w:val="none" w:sz="0" w:space="0" w:color="auto"/>
      </w:divBdr>
    </w:div>
    <w:div w:id="302392432">
      <w:bodyDiv w:val="1"/>
      <w:marLeft w:val="0"/>
      <w:marRight w:val="0"/>
      <w:marTop w:val="0"/>
      <w:marBottom w:val="0"/>
      <w:divBdr>
        <w:top w:val="none" w:sz="0" w:space="0" w:color="auto"/>
        <w:left w:val="none" w:sz="0" w:space="0" w:color="auto"/>
        <w:bottom w:val="none" w:sz="0" w:space="0" w:color="auto"/>
        <w:right w:val="none" w:sz="0" w:space="0" w:color="auto"/>
      </w:divBdr>
    </w:div>
    <w:div w:id="313608258">
      <w:bodyDiv w:val="1"/>
      <w:marLeft w:val="0"/>
      <w:marRight w:val="0"/>
      <w:marTop w:val="0"/>
      <w:marBottom w:val="0"/>
      <w:divBdr>
        <w:top w:val="none" w:sz="0" w:space="0" w:color="auto"/>
        <w:left w:val="none" w:sz="0" w:space="0" w:color="auto"/>
        <w:bottom w:val="none" w:sz="0" w:space="0" w:color="auto"/>
        <w:right w:val="none" w:sz="0" w:space="0" w:color="auto"/>
      </w:divBdr>
    </w:div>
    <w:div w:id="332339816">
      <w:bodyDiv w:val="1"/>
      <w:marLeft w:val="0"/>
      <w:marRight w:val="0"/>
      <w:marTop w:val="0"/>
      <w:marBottom w:val="0"/>
      <w:divBdr>
        <w:top w:val="none" w:sz="0" w:space="0" w:color="auto"/>
        <w:left w:val="none" w:sz="0" w:space="0" w:color="auto"/>
        <w:bottom w:val="none" w:sz="0" w:space="0" w:color="auto"/>
        <w:right w:val="none" w:sz="0" w:space="0" w:color="auto"/>
      </w:divBdr>
    </w:div>
    <w:div w:id="344747403">
      <w:bodyDiv w:val="1"/>
      <w:marLeft w:val="0"/>
      <w:marRight w:val="0"/>
      <w:marTop w:val="0"/>
      <w:marBottom w:val="0"/>
      <w:divBdr>
        <w:top w:val="none" w:sz="0" w:space="0" w:color="auto"/>
        <w:left w:val="none" w:sz="0" w:space="0" w:color="auto"/>
        <w:bottom w:val="none" w:sz="0" w:space="0" w:color="auto"/>
        <w:right w:val="none" w:sz="0" w:space="0" w:color="auto"/>
      </w:divBdr>
    </w:div>
    <w:div w:id="366837236">
      <w:bodyDiv w:val="1"/>
      <w:marLeft w:val="0"/>
      <w:marRight w:val="0"/>
      <w:marTop w:val="0"/>
      <w:marBottom w:val="0"/>
      <w:divBdr>
        <w:top w:val="none" w:sz="0" w:space="0" w:color="auto"/>
        <w:left w:val="none" w:sz="0" w:space="0" w:color="auto"/>
        <w:bottom w:val="none" w:sz="0" w:space="0" w:color="auto"/>
        <w:right w:val="none" w:sz="0" w:space="0" w:color="auto"/>
      </w:divBdr>
    </w:div>
    <w:div w:id="367222910">
      <w:bodyDiv w:val="1"/>
      <w:marLeft w:val="0"/>
      <w:marRight w:val="0"/>
      <w:marTop w:val="0"/>
      <w:marBottom w:val="0"/>
      <w:divBdr>
        <w:top w:val="none" w:sz="0" w:space="0" w:color="auto"/>
        <w:left w:val="none" w:sz="0" w:space="0" w:color="auto"/>
        <w:bottom w:val="none" w:sz="0" w:space="0" w:color="auto"/>
        <w:right w:val="none" w:sz="0" w:space="0" w:color="auto"/>
      </w:divBdr>
    </w:div>
    <w:div w:id="375396731">
      <w:bodyDiv w:val="1"/>
      <w:marLeft w:val="0"/>
      <w:marRight w:val="0"/>
      <w:marTop w:val="0"/>
      <w:marBottom w:val="0"/>
      <w:divBdr>
        <w:top w:val="none" w:sz="0" w:space="0" w:color="auto"/>
        <w:left w:val="none" w:sz="0" w:space="0" w:color="auto"/>
        <w:bottom w:val="none" w:sz="0" w:space="0" w:color="auto"/>
        <w:right w:val="none" w:sz="0" w:space="0" w:color="auto"/>
      </w:divBdr>
    </w:div>
    <w:div w:id="391200167">
      <w:bodyDiv w:val="1"/>
      <w:marLeft w:val="0"/>
      <w:marRight w:val="0"/>
      <w:marTop w:val="0"/>
      <w:marBottom w:val="0"/>
      <w:divBdr>
        <w:top w:val="none" w:sz="0" w:space="0" w:color="auto"/>
        <w:left w:val="none" w:sz="0" w:space="0" w:color="auto"/>
        <w:bottom w:val="none" w:sz="0" w:space="0" w:color="auto"/>
        <w:right w:val="none" w:sz="0" w:space="0" w:color="auto"/>
      </w:divBdr>
    </w:div>
    <w:div w:id="396561990">
      <w:bodyDiv w:val="1"/>
      <w:marLeft w:val="0"/>
      <w:marRight w:val="0"/>
      <w:marTop w:val="0"/>
      <w:marBottom w:val="0"/>
      <w:divBdr>
        <w:top w:val="none" w:sz="0" w:space="0" w:color="auto"/>
        <w:left w:val="none" w:sz="0" w:space="0" w:color="auto"/>
        <w:bottom w:val="none" w:sz="0" w:space="0" w:color="auto"/>
        <w:right w:val="none" w:sz="0" w:space="0" w:color="auto"/>
      </w:divBdr>
    </w:div>
    <w:div w:id="408577675">
      <w:bodyDiv w:val="1"/>
      <w:marLeft w:val="0"/>
      <w:marRight w:val="0"/>
      <w:marTop w:val="0"/>
      <w:marBottom w:val="0"/>
      <w:divBdr>
        <w:top w:val="none" w:sz="0" w:space="0" w:color="auto"/>
        <w:left w:val="none" w:sz="0" w:space="0" w:color="auto"/>
        <w:bottom w:val="none" w:sz="0" w:space="0" w:color="auto"/>
        <w:right w:val="none" w:sz="0" w:space="0" w:color="auto"/>
      </w:divBdr>
    </w:div>
    <w:div w:id="479660572">
      <w:bodyDiv w:val="1"/>
      <w:marLeft w:val="0"/>
      <w:marRight w:val="0"/>
      <w:marTop w:val="0"/>
      <w:marBottom w:val="0"/>
      <w:divBdr>
        <w:top w:val="none" w:sz="0" w:space="0" w:color="auto"/>
        <w:left w:val="none" w:sz="0" w:space="0" w:color="auto"/>
        <w:bottom w:val="none" w:sz="0" w:space="0" w:color="auto"/>
        <w:right w:val="none" w:sz="0" w:space="0" w:color="auto"/>
      </w:divBdr>
    </w:div>
    <w:div w:id="493033796">
      <w:bodyDiv w:val="1"/>
      <w:marLeft w:val="0"/>
      <w:marRight w:val="0"/>
      <w:marTop w:val="0"/>
      <w:marBottom w:val="0"/>
      <w:divBdr>
        <w:top w:val="none" w:sz="0" w:space="0" w:color="auto"/>
        <w:left w:val="none" w:sz="0" w:space="0" w:color="auto"/>
        <w:bottom w:val="none" w:sz="0" w:space="0" w:color="auto"/>
        <w:right w:val="none" w:sz="0" w:space="0" w:color="auto"/>
      </w:divBdr>
      <w:divsChild>
        <w:div w:id="14357096">
          <w:marLeft w:val="0"/>
          <w:marRight w:val="0"/>
          <w:marTop w:val="0"/>
          <w:marBottom w:val="0"/>
          <w:divBdr>
            <w:top w:val="none" w:sz="0" w:space="0" w:color="auto"/>
            <w:left w:val="none" w:sz="0" w:space="0" w:color="auto"/>
            <w:bottom w:val="none" w:sz="0" w:space="0" w:color="auto"/>
            <w:right w:val="none" w:sz="0" w:space="0" w:color="auto"/>
          </w:divBdr>
        </w:div>
        <w:div w:id="48500923">
          <w:marLeft w:val="0"/>
          <w:marRight w:val="0"/>
          <w:marTop w:val="0"/>
          <w:marBottom w:val="0"/>
          <w:divBdr>
            <w:top w:val="none" w:sz="0" w:space="0" w:color="auto"/>
            <w:left w:val="none" w:sz="0" w:space="0" w:color="auto"/>
            <w:bottom w:val="none" w:sz="0" w:space="0" w:color="auto"/>
            <w:right w:val="none" w:sz="0" w:space="0" w:color="auto"/>
          </w:divBdr>
        </w:div>
        <w:div w:id="552277669">
          <w:marLeft w:val="0"/>
          <w:marRight w:val="0"/>
          <w:marTop w:val="0"/>
          <w:marBottom w:val="0"/>
          <w:divBdr>
            <w:top w:val="none" w:sz="0" w:space="0" w:color="auto"/>
            <w:left w:val="none" w:sz="0" w:space="0" w:color="auto"/>
            <w:bottom w:val="none" w:sz="0" w:space="0" w:color="auto"/>
            <w:right w:val="none" w:sz="0" w:space="0" w:color="auto"/>
          </w:divBdr>
        </w:div>
        <w:div w:id="761072174">
          <w:marLeft w:val="0"/>
          <w:marRight w:val="0"/>
          <w:marTop w:val="0"/>
          <w:marBottom w:val="0"/>
          <w:divBdr>
            <w:top w:val="none" w:sz="0" w:space="0" w:color="auto"/>
            <w:left w:val="none" w:sz="0" w:space="0" w:color="auto"/>
            <w:bottom w:val="none" w:sz="0" w:space="0" w:color="auto"/>
            <w:right w:val="none" w:sz="0" w:space="0" w:color="auto"/>
          </w:divBdr>
        </w:div>
        <w:div w:id="864516188">
          <w:marLeft w:val="0"/>
          <w:marRight w:val="0"/>
          <w:marTop w:val="0"/>
          <w:marBottom w:val="0"/>
          <w:divBdr>
            <w:top w:val="none" w:sz="0" w:space="0" w:color="auto"/>
            <w:left w:val="none" w:sz="0" w:space="0" w:color="auto"/>
            <w:bottom w:val="none" w:sz="0" w:space="0" w:color="auto"/>
            <w:right w:val="none" w:sz="0" w:space="0" w:color="auto"/>
          </w:divBdr>
        </w:div>
        <w:div w:id="1386762084">
          <w:marLeft w:val="0"/>
          <w:marRight w:val="0"/>
          <w:marTop w:val="0"/>
          <w:marBottom w:val="0"/>
          <w:divBdr>
            <w:top w:val="none" w:sz="0" w:space="0" w:color="auto"/>
            <w:left w:val="none" w:sz="0" w:space="0" w:color="auto"/>
            <w:bottom w:val="none" w:sz="0" w:space="0" w:color="auto"/>
            <w:right w:val="none" w:sz="0" w:space="0" w:color="auto"/>
          </w:divBdr>
        </w:div>
        <w:div w:id="1595432808">
          <w:marLeft w:val="0"/>
          <w:marRight w:val="0"/>
          <w:marTop w:val="0"/>
          <w:marBottom w:val="0"/>
          <w:divBdr>
            <w:top w:val="none" w:sz="0" w:space="0" w:color="auto"/>
            <w:left w:val="none" w:sz="0" w:space="0" w:color="auto"/>
            <w:bottom w:val="none" w:sz="0" w:space="0" w:color="auto"/>
            <w:right w:val="none" w:sz="0" w:space="0" w:color="auto"/>
          </w:divBdr>
        </w:div>
        <w:div w:id="1883974847">
          <w:marLeft w:val="0"/>
          <w:marRight w:val="0"/>
          <w:marTop w:val="0"/>
          <w:marBottom w:val="0"/>
          <w:divBdr>
            <w:top w:val="none" w:sz="0" w:space="0" w:color="auto"/>
            <w:left w:val="none" w:sz="0" w:space="0" w:color="auto"/>
            <w:bottom w:val="none" w:sz="0" w:space="0" w:color="auto"/>
            <w:right w:val="none" w:sz="0" w:space="0" w:color="auto"/>
          </w:divBdr>
        </w:div>
      </w:divsChild>
    </w:div>
    <w:div w:id="496115823">
      <w:bodyDiv w:val="1"/>
      <w:marLeft w:val="0"/>
      <w:marRight w:val="0"/>
      <w:marTop w:val="0"/>
      <w:marBottom w:val="0"/>
      <w:divBdr>
        <w:top w:val="none" w:sz="0" w:space="0" w:color="auto"/>
        <w:left w:val="none" w:sz="0" w:space="0" w:color="auto"/>
        <w:bottom w:val="none" w:sz="0" w:space="0" w:color="auto"/>
        <w:right w:val="none" w:sz="0" w:space="0" w:color="auto"/>
      </w:divBdr>
    </w:div>
    <w:div w:id="533269423">
      <w:bodyDiv w:val="1"/>
      <w:marLeft w:val="0"/>
      <w:marRight w:val="0"/>
      <w:marTop w:val="0"/>
      <w:marBottom w:val="0"/>
      <w:divBdr>
        <w:top w:val="none" w:sz="0" w:space="0" w:color="auto"/>
        <w:left w:val="none" w:sz="0" w:space="0" w:color="auto"/>
        <w:bottom w:val="none" w:sz="0" w:space="0" w:color="auto"/>
        <w:right w:val="none" w:sz="0" w:space="0" w:color="auto"/>
      </w:divBdr>
    </w:div>
    <w:div w:id="539976876">
      <w:bodyDiv w:val="1"/>
      <w:marLeft w:val="0"/>
      <w:marRight w:val="0"/>
      <w:marTop w:val="0"/>
      <w:marBottom w:val="0"/>
      <w:divBdr>
        <w:top w:val="none" w:sz="0" w:space="0" w:color="auto"/>
        <w:left w:val="none" w:sz="0" w:space="0" w:color="auto"/>
        <w:bottom w:val="none" w:sz="0" w:space="0" w:color="auto"/>
        <w:right w:val="none" w:sz="0" w:space="0" w:color="auto"/>
      </w:divBdr>
    </w:div>
    <w:div w:id="558366723">
      <w:bodyDiv w:val="1"/>
      <w:marLeft w:val="0"/>
      <w:marRight w:val="0"/>
      <w:marTop w:val="0"/>
      <w:marBottom w:val="0"/>
      <w:divBdr>
        <w:top w:val="none" w:sz="0" w:space="0" w:color="auto"/>
        <w:left w:val="none" w:sz="0" w:space="0" w:color="auto"/>
        <w:bottom w:val="none" w:sz="0" w:space="0" w:color="auto"/>
        <w:right w:val="none" w:sz="0" w:space="0" w:color="auto"/>
      </w:divBdr>
    </w:div>
    <w:div w:id="559094600">
      <w:bodyDiv w:val="1"/>
      <w:marLeft w:val="0"/>
      <w:marRight w:val="0"/>
      <w:marTop w:val="0"/>
      <w:marBottom w:val="0"/>
      <w:divBdr>
        <w:top w:val="none" w:sz="0" w:space="0" w:color="auto"/>
        <w:left w:val="none" w:sz="0" w:space="0" w:color="auto"/>
        <w:bottom w:val="none" w:sz="0" w:space="0" w:color="auto"/>
        <w:right w:val="none" w:sz="0" w:space="0" w:color="auto"/>
      </w:divBdr>
    </w:div>
    <w:div w:id="565804494">
      <w:bodyDiv w:val="1"/>
      <w:marLeft w:val="0"/>
      <w:marRight w:val="0"/>
      <w:marTop w:val="0"/>
      <w:marBottom w:val="0"/>
      <w:divBdr>
        <w:top w:val="none" w:sz="0" w:space="0" w:color="auto"/>
        <w:left w:val="none" w:sz="0" w:space="0" w:color="auto"/>
        <w:bottom w:val="none" w:sz="0" w:space="0" w:color="auto"/>
        <w:right w:val="none" w:sz="0" w:space="0" w:color="auto"/>
      </w:divBdr>
    </w:div>
    <w:div w:id="603149036">
      <w:bodyDiv w:val="1"/>
      <w:marLeft w:val="0"/>
      <w:marRight w:val="0"/>
      <w:marTop w:val="0"/>
      <w:marBottom w:val="0"/>
      <w:divBdr>
        <w:top w:val="none" w:sz="0" w:space="0" w:color="auto"/>
        <w:left w:val="none" w:sz="0" w:space="0" w:color="auto"/>
        <w:bottom w:val="none" w:sz="0" w:space="0" w:color="auto"/>
        <w:right w:val="none" w:sz="0" w:space="0" w:color="auto"/>
      </w:divBdr>
    </w:div>
    <w:div w:id="603346261">
      <w:bodyDiv w:val="1"/>
      <w:marLeft w:val="0"/>
      <w:marRight w:val="0"/>
      <w:marTop w:val="0"/>
      <w:marBottom w:val="0"/>
      <w:divBdr>
        <w:top w:val="none" w:sz="0" w:space="0" w:color="auto"/>
        <w:left w:val="none" w:sz="0" w:space="0" w:color="auto"/>
        <w:bottom w:val="none" w:sz="0" w:space="0" w:color="auto"/>
        <w:right w:val="none" w:sz="0" w:space="0" w:color="auto"/>
      </w:divBdr>
    </w:div>
    <w:div w:id="616300754">
      <w:bodyDiv w:val="1"/>
      <w:marLeft w:val="0"/>
      <w:marRight w:val="0"/>
      <w:marTop w:val="0"/>
      <w:marBottom w:val="0"/>
      <w:divBdr>
        <w:top w:val="none" w:sz="0" w:space="0" w:color="auto"/>
        <w:left w:val="none" w:sz="0" w:space="0" w:color="auto"/>
        <w:bottom w:val="none" w:sz="0" w:space="0" w:color="auto"/>
        <w:right w:val="none" w:sz="0" w:space="0" w:color="auto"/>
      </w:divBdr>
    </w:div>
    <w:div w:id="621574146">
      <w:bodyDiv w:val="1"/>
      <w:marLeft w:val="0"/>
      <w:marRight w:val="0"/>
      <w:marTop w:val="0"/>
      <w:marBottom w:val="0"/>
      <w:divBdr>
        <w:top w:val="none" w:sz="0" w:space="0" w:color="auto"/>
        <w:left w:val="none" w:sz="0" w:space="0" w:color="auto"/>
        <w:bottom w:val="none" w:sz="0" w:space="0" w:color="auto"/>
        <w:right w:val="none" w:sz="0" w:space="0" w:color="auto"/>
      </w:divBdr>
    </w:div>
    <w:div w:id="630475328">
      <w:bodyDiv w:val="1"/>
      <w:marLeft w:val="0"/>
      <w:marRight w:val="0"/>
      <w:marTop w:val="0"/>
      <w:marBottom w:val="0"/>
      <w:divBdr>
        <w:top w:val="none" w:sz="0" w:space="0" w:color="auto"/>
        <w:left w:val="none" w:sz="0" w:space="0" w:color="auto"/>
        <w:bottom w:val="none" w:sz="0" w:space="0" w:color="auto"/>
        <w:right w:val="none" w:sz="0" w:space="0" w:color="auto"/>
      </w:divBdr>
    </w:div>
    <w:div w:id="635066256">
      <w:bodyDiv w:val="1"/>
      <w:marLeft w:val="0"/>
      <w:marRight w:val="0"/>
      <w:marTop w:val="0"/>
      <w:marBottom w:val="0"/>
      <w:divBdr>
        <w:top w:val="none" w:sz="0" w:space="0" w:color="auto"/>
        <w:left w:val="none" w:sz="0" w:space="0" w:color="auto"/>
        <w:bottom w:val="none" w:sz="0" w:space="0" w:color="auto"/>
        <w:right w:val="none" w:sz="0" w:space="0" w:color="auto"/>
      </w:divBdr>
      <w:divsChild>
        <w:div w:id="177626548">
          <w:marLeft w:val="0"/>
          <w:marRight w:val="0"/>
          <w:marTop w:val="0"/>
          <w:marBottom w:val="0"/>
          <w:divBdr>
            <w:top w:val="none" w:sz="0" w:space="0" w:color="auto"/>
            <w:left w:val="none" w:sz="0" w:space="0" w:color="auto"/>
            <w:bottom w:val="none" w:sz="0" w:space="0" w:color="auto"/>
            <w:right w:val="none" w:sz="0" w:space="0" w:color="auto"/>
          </w:divBdr>
        </w:div>
        <w:div w:id="198594475">
          <w:marLeft w:val="0"/>
          <w:marRight w:val="0"/>
          <w:marTop w:val="0"/>
          <w:marBottom w:val="0"/>
          <w:divBdr>
            <w:top w:val="none" w:sz="0" w:space="0" w:color="auto"/>
            <w:left w:val="none" w:sz="0" w:space="0" w:color="auto"/>
            <w:bottom w:val="none" w:sz="0" w:space="0" w:color="auto"/>
            <w:right w:val="none" w:sz="0" w:space="0" w:color="auto"/>
          </w:divBdr>
        </w:div>
        <w:div w:id="1515726931">
          <w:marLeft w:val="0"/>
          <w:marRight w:val="0"/>
          <w:marTop w:val="0"/>
          <w:marBottom w:val="0"/>
          <w:divBdr>
            <w:top w:val="none" w:sz="0" w:space="0" w:color="auto"/>
            <w:left w:val="none" w:sz="0" w:space="0" w:color="auto"/>
            <w:bottom w:val="none" w:sz="0" w:space="0" w:color="auto"/>
            <w:right w:val="none" w:sz="0" w:space="0" w:color="auto"/>
          </w:divBdr>
        </w:div>
        <w:div w:id="1671986979">
          <w:marLeft w:val="0"/>
          <w:marRight w:val="0"/>
          <w:marTop w:val="0"/>
          <w:marBottom w:val="0"/>
          <w:divBdr>
            <w:top w:val="none" w:sz="0" w:space="0" w:color="auto"/>
            <w:left w:val="none" w:sz="0" w:space="0" w:color="auto"/>
            <w:bottom w:val="none" w:sz="0" w:space="0" w:color="auto"/>
            <w:right w:val="none" w:sz="0" w:space="0" w:color="auto"/>
          </w:divBdr>
        </w:div>
        <w:div w:id="1756975652">
          <w:marLeft w:val="0"/>
          <w:marRight w:val="0"/>
          <w:marTop w:val="0"/>
          <w:marBottom w:val="0"/>
          <w:divBdr>
            <w:top w:val="none" w:sz="0" w:space="0" w:color="auto"/>
            <w:left w:val="none" w:sz="0" w:space="0" w:color="auto"/>
            <w:bottom w:val="none" w:sz="0" w:space="0" w:color="auto"/>
            <w:right w:val="none" w:sz="0" w:space="0" w:color="auto"/>
          </w:divBdr>
        </w:div>
        <w:div w:id="1776708001">
          <w:marLeft w:val="0"/>
          <w:marRight w:val="0"/>
          <w:marTop w:val="0"/>
          <w:marBottom w:val="0"/>
          <w:divBdr>
            <w:top w:val="none" w:sz="0" w:space="0" w:color="auto"/>
            <w:left w:val="none" w:sz="0" w:space="0" w:color="auto"/>
            <w:bottom w:val="none" w:sz="0" w:space="0" w:color="auto"/>
            <w:right w:val="none" w:sz="0" w:space="0" w:color="auto"/>
          </w:divBdr>
        </w:div>
        <w:div w:id="1805077403">
          <w:marLeft w:val="0"/>
          <w:marRight w:val="0"/>
          <w:marTop w:val="0"/>
          <w:marBottom w:val="0"/>
          <w:divBdr>
            <w:top w:val="none" w:sz="0" w:space="0" w:color="auto"/>
            <w:left w:val="none" w:sz="0" w:space="0" w:color="auto"/>
            <w:bottom w:val="none" w:sz="0" w:space="0" w:color="auto"/>
            <w:right w:val="none" w:sz="0" w:space="0" w:color="auto"/>
          </w:divBdr>
        </w:div>
      </w:divsChild>
    </w:div>
    <w:div w:id="637682930">
      <w:bodyDiv w:val="1"/>
      <w:marLeft w:val="0"/>
      <w:marRight w:val="0"/>
      <w:marTop w:val="0"/>
      <w:marBottom w:val="0"/>
      <w:divBdr>
        <w:top w:val="none" w:sz="0" w:space="0" w:color="auto"/>
        <w:left w:val="none" w:sz="0" w:space="0" w:color="auto"/>
        <w:bottom w:val="none" w:sz="0" w:space="0" w:color="auto"/>
        <w:right w:val="none" w:sz="0" w:space="0" w:color="auto"/>
      </w:divBdr>
    </w:div>
    <w:div w:id="662314044">
      <w:bodyDiv w:val="1"/>
      <w:marLeft w:val="0"/>
      <w:marRight w:val="0"/>
      <w:marTop w:val="0"/>
      <w:marBottom w:val="0"/>
      <w:divBdr>
        <w:top w:val="none" w:sz="0" w:space="0" w:color="auto"/>
        <w:left w:val="none" w:sz="0" w:space="0" w:color="auto"/>
        <w:bottom w:val="none" w:sz="0" w:space="0" w:color="auto"/>
        <w:right w:val="none" w:sz="0" w:space="0" w:color="auto"/>
      </w:divBdr>
    </w:div>
    <w:div w:id="705176700">
      <w:bodyDiv w:val="1"/>
      <w:marLeft w:val="0"/>
      <w:marRight w:val="0"/>
      <w:marTop w:val="0"/>
      <w:marBottom w:val="0"/>
      <w:divBdr>
        <w:top w:val="none" w:sz="0" w:space="0" w:color="auto"/>
        <w:left w:val="none" w:sz="0" w:space="0" w:color="auto"/>
        <w:bottom w:val="none" w:sz="0" w:space="0" w:color="auto"/>
        <w:right w:val="none" w:sz="0" w:space="0" w:color="auto"/>
      </w:divBdr>
    </w:div>
    <w:div w:id="715393702">
      <w:bodyDiv w:val="1"/>
      <w:marLeft w:val="0"/>
      <w:marRight w:val="0"/>
      <w:marTop w:val="0"/>
      <w:marBottom w:val="0"/>
      <w:divBdr>
        <w:top w:val="none" w:sz="0" w:space="0" w:color="auto"/>
        <w:left w:val="none" w:sz="0" w:space="0" w:color="auto"/>
        <w:bottom w:val="none" w:sz="0" w:space="0" w:color="auto"/>
        <w:right w:val="none" w:sz="0" w:space="0" w:color="auto"/>
      </w:divBdr>
    </w:div>
    <w:div w:id="726148175">
      <w:bodyDiv w:val="1"/>
      <w:marLeft w:val="0"/>
      <w:marRight w:val="0"/>
      <w:marTop w:val="0"/>
      <w:marBottom w:val="0"/>
      <w:divBdr>
        <w:top w:val="none" w:sz="0" w:space="0" w:color="auto"/>
        <w:left w:val="none" w:sz="0" w:space="0" w:color="auto"/>
        <w:bottom w:val="none" w:sz="0" w:space="0" w:color="auto"/>
        <w:right w:val="none" w:sz="0" w:space="0" w:color="auto"/>
      </w:divBdr>
    </w:div>
    <w:div w:id="741025357">
      <w:bodyDiv w:val="1"/>
      <w:marLeft w:val="0"/>
      <w:marRight w:val="0"/>
      <w:marTop w:val="0"/>
      <w:marBottom w:val="0"/>
      <w:divBdr>
        <w:top w:val="none" w:sz="0" w:space="0" w:color="auto"/>
        <w:left w:val="none" w:sz="0" w:space="0" w:color="auto"/>
        <w:bottom w:val="none" w:sz="0" w:space="0" w:color="auto"/>
        <w:right w:val="none" w:sz="0" w:space="0" w:color="auto"/>
      </w:divBdr>
    </w:div>
    <w:div w:id="742143137">
      <w:bodyDiv w:val="1"/>
      <w:marLeft w:val="0"/>
      <w:marRight w:val="0"/>
      <w:marTop w:val="0"/>
      <w:marBottom w:val="0"/>
      <w:divBdr>
        <w:top w:val="none" w:sz="0" w:space="0" w:color="auto"/>
        <w:left w:val="none" w:sz="0" w:space="0" w:color="auto"/>
        <w:bottom w:val="none" w:sz="0" w:space="0" w:color="auto"/>
        <w:right w:val="none" w:sz="0" w:space="0" w:color="auto"/>
      </w:divBdr>
    </w:div>
    <w:div w:id="763692338">
      <w:bodyDiv w:val="1"/>
      <w:marLeft w:val="0"/>
      <w:marRight w:val="0"/>
      <w:marTop w:val="0"/>
      <w:marBottom w:val="0"/>
      <w:divBdr>
        <w:top w:val="none" w:sz="0" w:space="0" w:color="auto"/>
        <w:left w:val="none" w:sz="0" w:space="0" w:color="auto"/>
        <w:bottom w:val="none" w:sz="0" w:space="0" w:color="auto"/>
        <w:right w:val="none" w:sz="0" w:space="0" w:color="auto"/>
      </w:divBdr>
    </w:div>
    <w:div w:id="766073450">
      <w:bodyDiv w:val="1"/>
      <w:marLeft w:val="0"/>
      <w:marRight w:val="0"/>
      <w:marTop w:val="0"/>
      <w:marBottom w:val="0"/>
      <w:divBdr>
        <w:top w:val="none" w:sz="0" w:space="0" w:color="auto"/>
        <w:left w:val="none" w:sz="0" w:space="0" w:color="auto"/>
        <w:bottom w:val="none" w:sz="0" w:space="0" w:color="auto"/>
        <w:right w:val="none" w:sz="0" w:space="0" w:color="auto"/>
      </w:divBdr>
    </w:div>
    <w:div w:id="771047960">
      <w:bodyDiv w:val="1"/>
      <w:marLeft w:val="0"/>
      <w:marRight w:val="0"/>
      <w:marTop w:val="0"/>
      <w:marBottom w:val="0"/>
      <w:divBdr>
        <w:top w:val="none" w:sz="0" w:space="0" w:color="auto"/>
        <w:left w:val="none" w:sz="0" w:space="0" w:color="auto"/>
        <w:bottom w:val="none" w:sz="0" w:space="0" w:color="auto"/>
        <w:right w:val="none" w:sz="0" w:space="0" w:color="auto"/>
      </w:divBdr>
    </w:div>
    <w:div w:id="779376344">
      <w:bodyDiv w:val="1"/>
      <w:marLeft w:val="0"/>
      <w:marRight w:val="0"/>
      <w:marTop w:val="0"/>
      <w:marBottom w:val="0"/>
      <w:divBdr>
        <w:top w:val="none" w:sz="0" w:space="0" w:color="auto"/>
        <w:left w:val="none" w:sz="0" w:space="0" w:color="auto"/>
        <w:bottom w:val="none" w:sz="0" w:space="0" w:color="auto"/>
        <w:right w:val="none" w:sz="0" w:space="0" w:color="auto"/>
      </w:divBdr>
      <w:divsChild>
        <w:div w:id="14311482">
          <w:marLeft w:val="0"/>
          <w:marRight w:val="0"/>
          <w:marTop w:val="0"/>
          <w:marBottom w:val="0"/>
          <w:divBdr>
            <w:top w:val="none" w:sz="0" w:space="0" w:color="auto"/>
            <w:left w:val="none" w:sz="0" w:space="0" w:color="auto"/>
            <w:bottom w:val="none" w:sz="0" w:space="0" w:color="auto"/>
            <w:right w:val="none" w:sz="0" w:space="0" w:color="auto"/>
          </w:divBdr>
          <w:divsChild>
            <w:div w:id="1930842444">
              <w:marLeft w:val="0"/>
              <w:marRight w:val="0"/>
              <w:marTop w:val="0"/>
              <w:marBottom w:val="0"/>
              <w:divBdr>
                <w:top w:val="none" w:sz="0" w:space="0" w:color="auto"/>
                <w:left w:val="none" w:sz="0" w:space="0" w:color="auto"/>
                <w:bottom w:val="none" w:sz="0" w:space="0" w:color="auto"/>
                <w:right w:val="none" w:sz="0" w:space="0" w:color="auto"/>
              </w:divBdr>
            </w:div>
          </w:divsChild>
        </w:div>
        <w:div w:id="16977156">
          <w:marLeft w:val="0"/>
          <w:marRight w:val="0"/>
          <w:marTop w:val="0"/>
          <w:marBottom w:val="0"/>
          <w:divBdr>
            <w:top w:val="none" w:sz="0" w:space="0" w:color="auto"/>
            <w:left w:val="none" w:sz="0" w:space="0" w:color="auto"/>
            <w:bottom w:val="none" w:sz="0" w:space="0" w:color="auto"/>
            <w:right w:val="none" w:sz="0" w:space="0" w:color="auto"/>
          </w:divBdr>
          <w:divsChild>
            <w:div w:id="1455372272">
              <w:marLeft w:val="0"/>
              <w:marRight w:val="0"/>
              <w:marTop w:val="0"/>
              <w:marBottom w:val="0"/>
              <w:divBdr>
                <w:top w:val="none" w:sz="0" w:space="0" w:color="auto"/>
                <w:left w:val="none" w:sz="0" w:space="0" w:color="auto"/>
                <w:bottom w:val="none" w:sz="0" w:space="0" w:color="auto"/>
                <w:right w:val="none" w:sz="0" w:space="0" w:color="auto"/>
              </w:divBdr>
            </w:div>
          </w:divsChild>
        </w:div>
        <w:div w:id="322780068">
          <w:marLeft w:val="0"/>
          <w:marRight w:val="0"/>
          <w:marTop w:val="0"/>
          <w:marBottom w:val="0"/>
          <w:divBdr>
            <w:top w:val="none" w:sz="0" w:space="0" w:color="auto"/>
            <w:left w:val="none" w:sz="0" w:space="0" w:color="auto"/>
            <w:bottom w:val="none" w:sz="0" w:space="0" w:color="auto"/>
            <w:right w:val="none" w:sz="0" w:space="0" w:color="auto"/>
          </w:divBdr>
          <w:divsChild>
            <w:div w:id="1595477293">
              <w:marLeft w:val="0"/>
              <w:marRight w:val="0"/>
              <w:marTop w:val="0"/>
              <w:marBottom w:val="0"/>
              <w:divBdr>
                <w:top w:val="none" w:sz="0" w:space="0" w:color="auto"/>
                <w:left w:val="none" w:sz="0" w:space="0" w:color="auto"/>
                <w:bottom w:val="none" w:sz="0" w:space="0" w:color="auto"/>
                <w:right w:val="none" w:sz="0" w:space="0" w:color="auto"/>
              </w:divBdr>
            </w:div>
          </w:divsChild>
        </w:div>
        <w:div w:id="380256177">
          <w:marLeft w:val="0"/>
          <w:marRight w:val="0"/>
          <w:marTop w:val="0"/>
          <w:marBottom w:val="0"/>
          <w:divBdr>
            <w:top w:val="none" w:sz="0" w:space="0" w:color="auto"/>
            <w:left w:val="none" w:sz="0" w:space="0" w:color="auto"/>
            <w:bottom w:val="none" w:sz="0" w:space="0" w:color="auto"/>
            <w:right w:val="none" w:sz="0" w:space="0" w:color="auto"/>
          </w:divBdr>
          <w:divsChild>
            <w:div w:id="729305730">
              <w:marLeft w:val="0"/>
              <w:marRight w:val="0"/>
              <w:marTop w:val="0"/>
              <w:marBottom w:val="0"/>
              <w:divBdr>
                <w:top w:val="none" w:sz="0" w:space="0" w:color="auto"/>
                <w:left w:val="none" w:sz="0" w:space="0" w:color="auto"/>
                <w:bottom w:val="none" w:sz="0" w:space="0" w:color="auto"/>
                <w:right w:val="none" w:sz="0" w:space="0" w:color="auto"/>
              </w:divBdr>
            </w:div>
            <w:div w:id="1842314333">
              <w:marLeft w:val="0"/>
              <w:marRight w:val="0"/>
              <w:marTop w:val="0"/>
              <w:marBottom w:val="0"/>
              <w:divBdr>
                <w:top w:val="none" w:sz="0" w:space="0" w:color="auto"/>
                <w:left w:val="none" w:sz="0" w:space="0" w:color="auto"/>
                <w:bottom w:val="none" w:sz="0" w:space="0" w:color="auto"/>
                <w:right w:val="none" w:sz="0" w:space="0" w:color="auto"/>
              </w:divBdr>
            </w:div>
          </w:divsChild>
        </w:div>
        <w:div w:id="676932535">
          <w:marLeft w:val="0"/>
          <w:marRight w:val="0"/>
          <w:marTop w:val="0"/>
          <w:marBottom w:val="0"/>
          <w:divBdr>
            <w:top w:val="none" w:sz="0" w:space="0" w:color="auto"/>
            <w:left w:val="none" w:sz="0" w:space="0" w:color="auto"/>
            <w:bottom w:val="none" w:sz="0" w:space="0" w:color="auto"/>
            <w:right w:val="none" w:sz="0" w:space="0" w:color="auto"/>
          </w:divBdr>
          <w:divsChild>
            <w:div w:id="621494678">
              <w:marLeft w:val="0"/>
              <w:marRight w:val="0"/>
              <w:marTop w:val="0"/>
              <w:marBottom w:val="0"/>
              <w:divBdr>
                <w:top w:val="none" w:sz="0" w:space="0" w:color="auto"/>
                <w:left w:val="none" w:sz="0" w:space="0" w:color="auto"/>
                <w:bottom w:val="none" w:sz="0" w:space="0" w:color="auto"/>
                <w:right w:val="none" w:sz="0" w:space="0" w:color="auto"/>
              </w:divBdr>
            </w:div>
          </w:divsChild>
        </w:div>
        <w:div w:id="716971366">
          <w:marLeft w:val="0"/>
          <w:marRight w:val="0"/>
          <w:marTop w:val="0"/>
          <w:marBottom w:val="0"/>
          <w:divBdr>
            <w:top w:val="none" w:sz="0" w:space="0" w:color="auto"/>
            <w:left w:val="none" w:sz="0" w:space="0" w:color="auto"/>
            <w:bottom w:val="none" w:sz="0" w:space="0" w:color="auto"/>
            <w:right w:val="none" w:sz="0" w:space="0" w:color="auto"/>
          </w:divBdr>
          <w:divsChild>
            <w:div w:id="2011710286">
              <w:marLeft w:val="0"/>
              <w:marRight w:val="0"/>
              <w:marTop w:val="0"/>
              <w:marBottom w:val="0"/>
              <w:divBdr>
                <w:top w:val="none" w:sz="0" w:space="0" w:color="auto"/>
                <w:left w:val="none" w:sz="0" w:space="0" w:color="auto"/>
                <w:bottom w:val="none" w:sz="0" w:space="0" w:color="auto"/>
                <w:right w:val="none" w:sz="0" w:space="0" w:color="auto"/>
              </w:divBdr>
            </w:div>
          </w:divsChild>
        </w:div>
        <w:div w:id="738091989">
          <w:marLeft w:val="0"/>
          <w:marRight w:val="0"/>
          <w:marTop w:val="0"/>
          <w:marBottom w:val="0"/>
          <w:divBdr>
            <w:top w:val="none" w:sz="0" w:space="0" w:color="auto"/>
            <w:left w:val="none" w:sz="0" w:space="0" w:color="auto"/>
            <w:bottom w:val="none" w:sz="0" w:space="0" w:color="auto"/>
            <w:right w:val="none" w:sz="0" w:space="0" w:color="auto"/>
          </w:divBdr>
          <w:divsChild>
            <w:div w:id="692194289">
              <w:marLeft w:val="0"/>
              <w:marRight w:val="0"/>
              <w:marTop w:val="0"/>
              <w:marBottom w:val="0"/>
              <w:divBdr>
                <w:top w:val="none" w:sz="0" w:space="0" w:color="auto"/>
                <w:left w:val="none" w:sz="0" w:space="0" w:color="auto"/>
                <w:bottom w:val="none" w:sz="0" w:space="0" w:color="auto"/>
                <w:right w:val="none" w:sz="0" w:space="0" w:color="auto"/>
              </w:divBdr>
            </w:div>
          </w:divsChild>
        </w:div>
        <w:div w:id="924260702">
          <w:marLeft w:val="0"/>
          <w:marRight w:val="0"/>
          <w:marTop w:val="0"/>
          <w:marBottom w:val="0"/>
          <w:divBdr>
            <w:top w:val="none" w:sz="0" w:space="0" w:color="auto"/>
            <w:left w:val="none" w:sz="0" w:space="0" w:color="auto"/>
            <w:bottom w:val="none" w:sz="0" w:space="0" w:color="auto"/>
            <w:right w:val="none" w:sz="0" w:space="0" w:color="auto"/>
          </w:divBdr>
          <w:divsChild>
            <w:div w:id="248123578">
              <w:marLeft w:val="0"/>
              <w:marRight w:val="0"/>
              <w:marTop w:val="0"/>
              <w:marBottom w:val="0"/>
              <w:divBdr>
                <w:top w:val="none" w:sz="0" w:space="0" w:color="auto"/>
                <w:left w:val="none" w:sz="0" w:space="0" w:color="auto"/>
                <w:bottom w:val="none" w:sz="0" w:space="0" w:color="auto"/>
                <w:right w:val="none" w:sz="0" w:space="0" w:color="auto"/>
              </w:divBdr>
            </w:div>
          </w:divsChild>
        </w:div>
        <w:div w:id="949511536">
          <w:marLeft w:val="0"/>
          <w:marRight w:val="0"/>
          <w:marTop w:val="0"/>
          <w:marBottom w:val="0"/>
          <w:divBdr>
            <w:top w:val="none" w:sz="0" w:space="0" w:color="auto"/>
            <w:left w:val="none" w:sz="0" w:space="0" w:color="auto"/>
            <w:bottom w:val="none" w:sz="0" w:space="0" w:color="auto"/>
            <w:right w:val="none" w:sz="0" w:space="0" w:color="auto"/>
          </w:divBdr>
          <w:divsChild>
            <w:div w:id="1784960124">
              <w:marLeft w:val="0"/>
              <w:marRight w:val="0"/>
              <w:marTop w:val="0"/>
              <w:marBottom w:val="0"/>
              <w:divBdr>
                <w:top w:val="none" w:sz="0" w:space="0" w:color="auto"/>
                <w:left w:val="none" w:sz="0" w:space="0" w:color="auto"/>
                <w:bottom w:val="none" w:sz="0" w:space="0" w:color="auto"/>
                <w:right w:val="none" w:sz="0" w:space="0" w:color="auto"/>
              </w:divBdr>
            </w:div>
          </w:divsChild>
        </w:div>
        <w:div w:id="1008099024">
          <w:marLeft w:val="0"/>
          <w:marRight w:val="0"/>
          <w:marTop w:val="0"/>
          <w:marBottom w:val="0"/>
          <w:divBdr>
            <w:top w:val="none" w:sz="0" w:space="0" w:color="auto"/>
            <w:left w:val="none" w:sz="0" w:space="0" w:color="auto"/>
            <w:bottom w:val="none" w:sz="0" w:space="0" w:color="auto"/>
            <w:right w:val="none" w:sz="0" w:space="0" w:color="auto"/>
          </w:divBdr>
          <w:divsChild>
            <w:div w:id="468867143">
              <w:marLeft w:val="0"/>
              <w:marRight w:val="0"/>
              <w:marTop w:val="0"/>
              <w:marBottom w:val="0"/>
              <w:divBdr>
                <w:top w:val="none" w:sz="0" w:space="0" w:color="auto"/>
                <w:left w:val="none" w:sz="0" w:space="0" w:color="auto"/>
                <w:bottom w:val="none" w:sz="0" w:space="0" w:color="auto"/>
                <w:right w:val="none" w:sz="0" w:space="0" w:color="auto"/>
              </w:divBdr>
            </w:div>
            <w:div w:id="1053581113">
              <w:marLeft w:val="0"/>
              <w:marRight w:val="0"/>
              <w:marTop w:val="0"/>
              <w:marBottom w:val="0"/>
              <w:divBdr>
                <w:top w:val="none" w:sz="0" w:space="0" w:color="auto"/>
                <w:left w:val="none" w:sz="0" w:space="0" w:color="auto"/>
                <w:bottom w:val="none" w:sz="0" w:space="0" w:color="auto"/>
                <w:right w:val="none" w:sz="0" w:space="0" w:color="auto"/>
              </w:divBdr>
            </w:div>
          </w:divsChild>
        </w:div>
        <w:div w:id="1180007600">
          <w:marLeft w:val="0"/>
          <w:marRight w:val="0"/>
          <w:marTop w:val="0"/>
          <w:marBottom w:val="0"/>
          <w:divBdr>
            <w:top w:val="none" w:sz="0" w:space="0" w:color="auto"/>
            <w:left w:val="none" w:sz="0" w:space="0" w:color="auto"/>
            <w:bottom w:val="none" w:sz="0" w:space="0" w:color="auto"/>
            <w:right w:val="none" w:sz="0" w:space="0" w:color="auto"/>
          </w:divBdr>
          <w:divsChild>
            <w:div w:id="196435456">
              <w:marLeft w:val="0"/>
              <w:marRight w:val="0"/>
              <w:marTop w:val="0"/>
              <w:marBottom w:val="0"/>
              <w:divBdr>
                <w:top w:val="none" w:sz="0" w:space="0" w:color="auto"/>
                <w:left w:val="none" w:sz="0" w:space="0" w:color="auto"/>
                <w:bottom w:val="none" w:sz="0" w:space="0" w:color="auto"/>
                <w:right w:val="none" w:sz="0" w:space="0" w:color="auto"/>
              </w:divBdr>
            </w:div>
          </w:divsChild>
        </w:div>
        <w:div w:id="1215896998">
          <w:marLeft w:val="0"/>
          <w:marRight w:val="0"/>
          <w:marTop w:val="0"/>
          <w:marBottom w:val="0"/>
          <w:divBdr>
            <w:top w:val="none" w:sz="0" w:space="0" w:color="auto"/>
            <w:left w:val="none" w:sz="0" w:space="0" w:color="auto"/>
            <w:bottom w:val="none" w:sz="0" w:space="0" w:color="auto"/>
            <w:right w:val="none" w:sz="0" w:space="0" w:color="auto"/>
          </w:divBdr>
          <w:divsChild>
            <w:div w:id="1566329483">
              <w:marLeft w:val="0"/>
              <w:marRight w:val="0"/>
              <w:marTop w:val="0"/>
              <w:marBottom w:val="0"/>
              <w:divBdr>
                <w:top w:val="none" w:sz="0" w:space="0" w:color="auto"/>
                <w:left w:val="none" w:sz="0" w:space="0" w:color="auto"/>
                <w:bottom w:val="none" w:sz="0" w:space="0" w:color="auto"/>
                <w:right w:val="none" w:sz="0" w:space="0" w:color="auto"/>
              </w:divBdr>
            </w:div>
          </w:divsChild>
        </w:div>
        <w:div w:id="1234582572">
          <w:marLeft w:val="0"/>
          <w:marRight w:val="0"/>
          <w:marTop w:val="0"/>
          <w:marBottom w:val="0"/>
          <w:divBdr>
            <w:top w:val="none" w:sz="0" w:space="0" w:color="auto"/>
            <w:left w:val="none" w:sz="0" w:space="0" w:color="auto"/>
            <w:bottom w:val="none" w:sz="0" w:space="0" w:color="auto"/>
            <w:right w:val="none" w:sz="0" w:space="0" w:color="auto"/>
          </w:divBdr>
          <w:divsChild>
            <w:div w:id="146826689">
              <w:marLeft w:val="0"/>
              <w:marRight w:val="0"/>
              <w:marTop w:val="0"/>
              <w:marBottom w:val="0"/>
              <w:divBdr>
                <w:top w:val="none" w:sz="0" w:space="0" w:color="auto"/>
                <w:left w:val="none" w:sz="0" w:space="0" w:color="auto"/>
                <w:bottom w:val="none" w:sz="0" w:space="0" w:color="auto"/>
                <w:right w:val="none" w:sz="0" w:space="0" w:color="auto"/>
              </w:divBdr>
            </w:div>
            <w:div w:id="1930237930">
              <w:marLeft w:val="0"/>
              <w:marRight w:val="0"/>
              <w:marTop w:val="0"/>
              <w:marBottom w:val="0"/>
              <w:divBdr>
                <w:top w:val="none" w:sz="0" w:space="0" w:color="auto"/>
                <w:left w:val="none" w:sz="0" w:space="0" w:color="auto"/>
                <w:bottom w:val="none" w:sz="0" w:space="0" w:color="auto"/>
                <w:right w:val="none" w:sz="0" w:space="0" w:color="auto"/>
              </w:divBdr>
            </w:div>
          </w:divsChild>
        </w:div>
        <w:div w:id="1272393439">
          <w:marLeft w:val="0"/>
          <w:marRight w:val="0"/>
          <w:marTop w:val="0"/>
          <w:marBottom w:val="0"/>
          <w:divBdr>
            <w:top w:val="none" w:sz="0" w:space="0" w:color="auto"/>
            <w:left w:val="none" w:sz="0" w:space="0" w:color="auto"/>
            <w:bottom w:val="none" w:sz="0" w:space="0" w:color="auto"/>
            <w:right w:val="none" w:sz="0" w:space="0" w:color="auto"/>
          </w:divBdr>
          <w:divsChild>
            <w:div w:id="2129472707">
              <w:marLeft w:val="0"/>
              <w:marRight w:val="0"/>
              <w:marTop w:val="0"/>
              <w:marBottom w:val="0"/>
              <w:divBdr>
                <w:top w:val="none" w:sz="0" w:space="0" w:color="auto"/>
                <w:left w:val="none" w:sz="0" w:space="0" w:color="auto"/>
                <w:bottom w:val="none" w:sz="0" w:space="0" w:color="auto"/>
                <w:right w:val="none" w:sz="0" w:space="0" w:color="auto"/>
              </w:divBdr>
            </w:div>
          </w:divsChild>
        </w:div>
        <w:div w:id="1281691639">
          <w:marLeft w:val="0"/>
          <w:marRight w:val="0"/>
          <w:marTop w:val="0"/>
          <w:marBottom w:val="0"/>
          <w:divBdr>
            <w:top w:val="none" w:sz="0" w:space="0" w:color="auto"/>
            <w:left w:val="none" w:sz="0" w:space="0" w:color="auto"/>
            <w:bottom w:val="none" w:sz="0" w:space="0" w:color="auto"/>
            <w:right w:val="none" w:sz="0" w:space="0" w:color="auto"/>
          </w:divBdr>
          <w:divsChild>
            <w:div w:id="688335513">
              <w:marLeft w:val="0"/>
              <w:marRight w:val="0"/>
              <w:marTop w:val="0"/>
              <w:marBottom w:val="0"/>
              <w:divBdr>
                <w:top w:val="none" w:sz="0" w:space="0" w:color="auto"/>
                <w:left w:val="none" w:sz="0" w:space="0" w:color="auto"/>
                <w:bottom w:val="none" w:sz="0" w:space="0" w:color="auto"/>
                <w:right w:val="none" w:sz="0" w:space="0" w:color="auto"/>
              </w:divBdr>
            </w:div>
          </w:divsChild>
        </w:div>
        <w:div w:id="1330670698">
          <w:marLeft w:val="0"/>
          <w:marRight w:val="0"/>
          <w:marTop w:val="0"/>
          <w:marBottom w:val="0"/>
          <w:divBdr>
            <w:top w:val="none" w:sz="0" w:space="0" w:color="auto"/>
            <w:left w:val="none" w:sz="0" w:space="0" w:color="auto"/>
            <w:bottom w:val="none" w:sz="0" w:space="0" w:color="auto"/>
            <w:right w:val="none" w:sz="0" w:space="0" w:color="auto"/>
          </w:divBdr>
          <w:divsChild>
            <w:div w:id="615916672">
              <w:marLeft w:val="0"/>
              <w:marRight w:val="0"/>
              <w:marTop w:val="0"/>
              <w:marBottom w:val="0"/>
              <w:divBdr>
                <w:top w:val="none" w:sz="0" w:space="0" w:color="auto"/>
                <w:left w:val="none" w:sz="0" w:space="0" w:color="auto"/>
                <w:bottom w:val="none" w:sz="0" w:space="0" w:color="auto"/>
                <w:right w:val="none" w:sz="0" w:space="0" w:color="auto"/>
              </w:divBdr>
            </w:div>
          </w:divsChild>
        </w:div>
        <w:div w:id="1392725872">
          <w:marLeft w:val="0"/>
          <w:marRight w:val="0"/>
          <w:marTop w:val="0"/>
          <w:marBottom w:val="0"/>
          <w:divBdr>
            <w:top w:val="none" w:sz="0" w:space="0" w:color="auto"/>
            <w:left w:val="none" w:sz="0" w:space="0" w:color="auto"/>
            <w:bottom w:val="none" w:sz="0" w:space="0" w:color="auto"/>
            <w:right w:val="none" w:sz="0" w:space="0" w:color="auto"/>
          </w:divBdr>
          <w:divsChild>
            <w:div w:id="1922906896">
              <w:marLeft w:val="0"/>
              <w:marRight w:val="0"/>
              <w:marTop w:val="0"/>
              <w:marBottom w:val="0"/>
              <w:divBdr>
                <w:top w:val="none" w:sz="0" w:space="0" w:color="auto"/>
                <w:left w:val="none" w:sz="0" w:space="0" w:color="auto"/>
                <w:bottom w:val="none" w:sz="0" w:space="0" w:color="auto"/>
                <w:right w:val="none" w:sz="0" w:space="0" w:color="auto"/>
              </w:divBdr>
            </w:div>
            <w:div w:id="2114203767">
              <w:marLeft w:val="0"/>
              <w:marRight w:val="0"/>
              <w:marTop w:val="0"/>
              <w:marBottom w:val="0"/>
              <w:divBdr>
                <w:top w:val="none" w:sz="0" w:space="0" w:color="auto"/>
                <w:left w:val="none" w:sz="0" w:space="0" w:color="auto"/>
                <w:bottom w:val="none" w:sz="0" w:space="0" w:color="auto"/>
                <w:right w:val="none" w:sz="0" w:space="0" w:color="auto"/>
              </w:divBdr>
            </w:div>
          </w:divsChild>
        </w:div>
        <w:div w:id="1561016071">
          <w:marLeft w:val="0"/>
          <w:marRight w:val="0"/>
          <w:marTop w:val="0"/>
          <w:marBottom w:val="0"/>
          <w:divBdr>
            <w:top w:val="none" w:sz="0" w:space="0" w:color="auto"/>
            <w:left w:val="none" w:sz="0" w:space="0" w:color="auto"/>
            <w:bottom w:val="none" w:sz="0" w:space="0" w:color="auto"/>
            <w:right w:val="none" w:sz="0" w:space="0" w:color="auto"/>
          </w:divBdr>
          <w:divsChild>
            <w:div w:id="800533960">
              <w:marLeft w:val="0"/>
              <w:marRight w:val="0"/>
              <w:marTop w:val="0"/>
              <w:marBottom w:val="0"/>
              <w:divBdr>
                <w:top w:val="none" w:sz="0" w:space="0" w:color="auto"/>
                <w:left w:val="none" w:sz="0" w:space="0" w:color="auto"/>
                <w:bottom w:val="none" w:sz="0" w:space="0" w:color="auto"/>
                <w:right w:val="none" w:sz="0" w:space="0" w:color="auto"/>
              </w:divBdr>
            </w:div>
            <w:div w:id="1738817639">
              <w:marLeft w:val="0"/>
              <w:marRight w:val="0"/>
              <w:marTop w:val="0"/>
              <w:marBottom w:val="0"/>
              <w:divBdr>
                <w:top w:val="none" w:sz="0" w:space="0" w:color="auto"/>
                <w:left w:val="none" w:sz="0" w:space="0" w:color="auto"/>
                <w:bottom w:val="none" w:sz="0" w:space="0" w:color="auto"/>
                <w:right w:val="none" w:sz="0" w:space="0" w:color="auto"/>
              </w:divBdr>
            </w:div>
          </w:divsChild>
        </w:div>
        <w:div w:id="1569729433">
          <w:marLeft w:val="0"/>
          <w:marRight w:val="0"/>
          <w:marTop w:val="0"/>
          <w:marBottom w:val="0"/>
          <w:divBdr>
            <w:top w:val="none" w:sz="0" w:space="0" w:color="auto"/>
            <w:left w:val="none" w:sz="0" w:space="0" w:color="auto"/>
            <w:bottom w:val="none" w:sz="0" w:space="0" w:color="auto"/>
            <w:right w:val="none" w:sz="0" w:space="0" w:color="auto"/>
          </w:divBdr>
          <w:divsChild>
            <w:div w:id="905140092">
              <w:marLeft w:val="0"/>
              <w:marRight w:val="0"/>
              <w:marTop w:val="0"/>
              <w:marBottom w:val="0"/>
              <w:divBdr>
                <w:top w:val="none" w:sz="0" w:space="0" w:color="auto"/>
                <w:left w:val="none" w:sz="0" w:space="0" w:color="auto"/>
                <w:bottom w:val="none" w:sz="0" w:space="0" w:color="auto"/>
                <w:right w:val="none" w:sz="0" w:space="0" w:color="auto"/>
              </w:divBdr>
            </w:div>
          </w:divsChild>
        </w:div>
        <w:div w:id="1804300662">
          <w:marLeft w:val="0"/>
          <w:marRight w:val="0"/>
          <w:marTop w:val="0"/>
          <w:marBottom w:val="0"/>
          <w:divBdr>
            <w:top w:val="none" w:sz="0" w:space="0" w:color="auto"/>
            <w:left w:val="none" w:sz="0" w:space="0" w:color="auto"/>
            <w:bottom w:val="none" w:sz="0" w:space="0" w:color="auto"/>
            <w:right w:val="none" w:sz="0" w:space="0" w:color="auto"/>
          </w:divBdr>
          <w:divsChild>
            <w:div w:id="1282610550">
              <w:marLeft w:val="0"/>
              <w:marRight w:val="0"/>
              <w:marTop w:val="0"/>
              <w:marBottom w:val="0"/>
              <w:divBdr>
                <w:top w:val="none" w:sz="0" w:space="0" w:color="auto"/>
                <w:left w:val="none" w:sz="0" w:space="0" w:color="auto"/>
                <w:bottom w:val="none" w:sz="0" w:space="0" w:color="auto"/>
                <w:right w:val="none" w:sz="0" w:space="0" w:color="auto"/>
              </w:divBdr>
            </w:div>
          </w:divsChild>
        </w:div>
        <w:div w:id="1832259638">
          <w:marLeft w:val="0"/>
          <w:marRight w:val="0"/>
          <w:marTop w:val="0"/>
          <w:marBottom w:val="0"/>
          <w:divBdr>
            <w:top w:val="none" w:sz="0" w:space="0" w:color="auto"/>
            <w:left w:val="none" w:sz="0" w:space="0" w:color="auto"/>
            <w:bottom w:val="none" w:sz="0" w:space="0" w:color="auto"/>
            <w:right w:val="none" w:sz="0" w:space="0" w:color="auto"/>
          </w:divBdr>
          <w:divsChild>
            <w:div w:id="522015251">
              <w:marLeft w:val="0"/>
              <w:marRight w:val="0"/>
              <w:marTop w:val="0"/>
              <w:marBottom w:val="0"/>
              <w:divBdr>
                <w:top w:val="none" w:sz="0" w:space="0" w:color="auto"/>
                <w:left w:val="none" w:sz="0" w:space="0" w:color="auto"/>
                <w:bottom w:val="none" w:sz="0" w:space="0" w:color="auto"/>
                <w:right w:val="none" w:sz="0" w:space="0" w:color="auto"/>
              </w:divBdr>
            </w:div>
            <w:div w:id="892618169">
              <w:marLeft w:val="0"/>
              <w:marRight w:val="0"/>
              <w:marTop w:val="0"/>
              <w:marBottom w:val="0"/>
              <w:divBdr>
                <w:top w:val="none" w:sz="0" w:space="0" w:color="auto"/>
                <w:left w:val="none" w:sz="0" w:space="0" w:color="auto"/>
                <w:bottom w:val="none" w:sz="0" w:space="0" w:color="auto"/>
                <w:right w:val="none" w:sz="0" w:space="0" w:color="auto"/>
              </w:divBdr>
            </w:div>
          </w:divsChild>
        </w:div>
        <w:div w:id="1902280446">
          <w:marLeft w:val="0"/>
          <w:marRight w:val="0"/>
          <w:marTop w:val="0"/>
          <w:marBottom w:val="0"/>
          <w:divBdr>
            <w:top w:val="none" w:sz="0" w:space="0" w:color="auto"/>
            <w:left w:val="none" w:sz="0" w:space="0" w:color="auto"/>
            <w:bottom w:val="none" w:sz="0" w:space="0" w:color="auto"/>
            <w:right w:val="none" w:sz="0" w:space="0" w:color="auto"/>
          </w:divBdr>
          <w:divsChild>
            <w:div w:id="666520694">
              <w:marLeft w:val="0"/>
              <w:marRight w:val="0"/>
              <w:marTop w:val="0"/>
              <w:marBottom w:val="0"/>
              <w:divBdr>
                <w:top w:val="none" w:sz="0" w:space="0" w:color="auto"/>
                <w:left w:val="none" w:sz="0" w:space="0" w:color="auto"/>
                <w:bottom w:val="none" w:sz="0" w:space="0" w:color="auto"/>
                <w:right w:val="none" w:sz="0" w:space="0" w:color="auto"/>
              </w:divBdr>
            </w:div>
          </w:divsChild>
        </w:div>
        <w:div w:id="1902867683">
          <w:marLeft w:val="0"/>
          <w:marRight w:val="0"/>
          <w:marTop w:val="0"/>
          <w:marBottom w:val="0"/>
          <w:divBdr>
            <w:top w:val="none" w:sz="0" w:space="0" w:color="auto"/>
            <w:left w:val="none" w:sz="0" w:space="0" w:color="auto"/>
            <w:bottom w:val="none" w:sz="0" w:space="0" w:color="auto"/>
            <w:right w:val="none" w:sz="0" w:space="0" w:color="auto"/>
          </w:divBdr>
          <w:divsChild>
            <w:div w:id="56635532">
              <w:marLeft w:val="0"/>
              <w:marRight w:val="0"/>
              <w:marTop w:val="0"/>
              <w:marBottom w:val="0"/>
              <w:divBdr>
                <w:top w:val="none" w:sz="0" w:space="0" w:color="auto"/>
                <w:left w:val="none" w:sz="0" w:space="0" w:color="auto"/>
                <w:bottom w:val="none" w:sz="0" w:space="0" w:color="auto"/>
                <w:right w:val="none" w:sz="0" w:space="0" w:color="auto"/>
              </w:divBdr>
            </w:div>
          </w:divsChild>
        </w:div>
        <w:div w:id="1926066893">
          <w:marLeft w:val="0"/>
          <w:marRight w:val="0"/>
          <w:marTop w:val="0"/>
          <w:marBottom w:val="0"/>
          <w:divBdr>
            <w:top w:val="none" w:sz="0" w:space="0" w:color="auto"/>
            <w:left w:val="none" w:sz="0" w:space="0" w:color="auto"/>
            <w:bottom w:val="none" w:sz="0" w:space="0" w:color="auto"/>
            <w:right w:val="none" w:sz="0" w:space="0" w:color="auto"/>
          </w:divBdr>
          <w:divsChild>
            <w:div w:id="2012445040">
              <w:marLeft w:val="0"/>
              <w:marRight w:val="0"/>
              <w:marTop w:val="0"/>
              <w:marBottom w:val="0"/>
              <w:divBdr>
                <w:top w:val="none" w:sz="0" w:space="0" w:color="auto"/>
                <w:left w:val="none" w:sz="0" w:space="0" w:color="auto"/>
                <w:bottom w:val="none" w:sz="0" w:space="0" w:color="auto"/>
                <w:right w:val="none" w:sz="0" w:space="0" w:color="auto"/>
              </w:divBdr>
            </w:div>
          </w:divsChild>
        </w:div>
        <w:div w:id="1929076162">
          <w:marLeft w:val="0"/>
          <w:marRight w:val="0"/>
          <w:marTop w:val="0"/>
          <w:marBottom w:val="0"/>
          <w:divBdr>
            <w:top w:val="none" w:sz="0" w:space="0" w:color="auto"/>
            <w:left w:val="none" w:sz="0" w:space="0" w:color="auto"/>
            <w:bottom w:val="none" w:sz="0" w:space="0" w:color="auto"/>
            <w:right w:val="none" w:sz="0" w:space="0" w:color="auto"/>
          </w:divBdr>
          <w:divsChild>
            <w:div w:id="27756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5097">
      <w:bodyDiv w:val="1"/>
      <w:marLeft w:val="0"/>
      <w:marRight w:val="0"/>
      <w:marTop w:val="0"/>
      <w:marBottom w:val="0"/>
      <w:divBdr>
        <w:top w:val="none" w:sz="0" w:space="0" w:color="auto"/>
        <w:left w:val="none" w:sz="0" w:space="0" w:color="auto"/>
        <w:bottom w:val="none" w:sz="0" w:space="0" w:color="auto"/>
        <w:right w:val="none" w:sz="0" w:space="0" w:color="auto"/>
      </w:divBdr>
    </w:div>
    <w:div w:id="790825130">
      <w:bodyDiv w:val="1"/>
      <w:marLeft w:val="0"/>
      <w:marRight w:val="0"/>
      <w:marTop w:val="0"/>
      <w:marBottom w:val="0"/>
      <w:divBdr>
        <w:top w:val="none" w:sz="0" w:space="0" w:color="auto"/>
        <w:left w:val="none" w:sz="0" w:space="0" w:color="auto"/>
        <w:bottom w:val="none" w:sz="0" w:space="0" w:color="auto"/>
        <w:right w:val="none" w:sz="0" w:space="0" w:color="auto"/>
      </w:divBdr>
    </w:div>
    <w:div w:id="812334072">
      <w:bodyDiv w:val="1"/>
      <w:marLeft w:val="0"/>
      <w:marRight w:val="0"/>
      <w:marTop w:val="0"/>
      <w:marBottom w:val="0"/>
      <w:divBdr>
        <w:top w:val="none" w:sz="0" w:space="0" w:color="auto"/>
        <w:left w:val="none" w:sz="0" w:space="0" w:color="auto"/>
        <w:bottom w:val="none" w:sz="0" w:space="0" w:color="auto"/>
        <w:right w:val="none" w:sz="0" w:space="0" w:color="auto"/>
      </w:divBdr>
    </w:div>
    <w:div w:id="814757183">
      <w:bodyDiv w:val="1"/>
      <w:marLeft w:val="0"/>
      <w:marRight w:val="0"/>
      <w:marTop w:val="0"/>
      <w:marBottom w:val="0"/>
      <w:divBdr>
        <w:top w:val="none" w:sz="0" w:space="0" w:color="auto"/>
        <w:left w:val="none" w:sz="0" w:space="0" w:color="auto"/>
        <w:bottom w:val="none" w:sz="0" w:space="0" w:color="auto"/>
        <w:right w:val="none" w:sz="0" w:space="0" w:color="auto"/>
      </w:divBdr>
    </w:div>
    <w:div w:id="834999900">
      <w:bodyDiv w:val="1"/>
      <w:marLeft w:val="0"/>
      <w:marRight w:val="0"/>
      <w:marTop w:val="0"/>
      <w:marBottom w:val="0"/>
      <w:divBdr>
        <w:top w:val="none" w:sz="0" w:space="0" w:color="auto"/>
        <w:left w:val="none" w:sz="0" w:space="0" w:color="auto"/>
        <w:bottom w:val="none" w:sz="0" w:space="0" w:color="auto"/>
        <w:right w:val="none" w:sz="0" w:space="0" w:color="auto"/>
      </w:divBdr>
    </w:div>
    <w:div w:id="850605910">
      <w:bodyDiv w:val="1"/>
      <w:marLeft w:val="0"/>
      <w:marRight w:val="0"/>
      <w:marTop w:val="0"/>
      <w:marBottom w:val="0"/>
      <w:divBdr>
        <w:top w:val="none" w:sz="0" w:space="0" w:color="auto"/>
        <w:left w:val="none" w:sz="0" w:space="0" w:color="auto"/>
        <w:bottom w:val="none" w:sz="0" w:space="0" w:color="auto"/>
        <w:right w:val="none" w:sz="0" w:space="0" w:color="auto"/>
      </w:divBdr>
    </w:div>
    <w:div w:id="857697280">
      <w:bodyDiv w:val="1"/>
      <w:marLeft w:val="0"/>
      <w:marRight w:val="0"/>
      <w:marTop w:val="0"/>
      <w:marBottom w:val="0"/>
      <w:divBdr>
        <w:top w:val="none" w:sz="0" w:space="0" w:color="auto"/>
        <w:left w:val="none" w:sz="0" w:space="0" w:color="auto"/>
        <w:bottom w:val="none" w:sz="0" w:space="0" w:color="auto"/>
        <w:right w:val="none" w:sz="0" w:space="0" w:color="auto"/>
      </w:divBdr>
    </w:div>
    <w:div w:id="859704999">
      <w:bodyDiv w:val="1"/>
      <w:marLeft w:val="0"/>
      <w:marRight w:val="0"/>
      <w:marTop w:val="0"/>
      <w:marBottom w:val="0"/>
      <w:divBdr>
        <w:top w:val="none" w:sz="0" w:space="0" w:color="auto"/>
        <w:left w:val="none" w:sz="0" w:space="0" w:color="auto"/>
        <w:bottom w:val="none" w:sz="0" w:space="0" w:color="auto"/>
        <w:right w:val="none" w:sz="0" w:space="0" w:color="auto"/>
      </w:divBdr>
    </w:div>
    <w:div w:id="869495773">
      <w:bodyDiv w:val="1"/>
      <w:marLeft w:val="0"/>
      <w:marRight w:val="0"/>
      <w:marTop w:val="0"/>
      <w:marBottom w:val="0"/>
      <w:divBdr>
        <w:top w:val="none" w:sz="0" w:space="0" w:color="auto"/>
        <w:left w:val="none" w:sz="0" w:space="0" w:color="auto"/>
        <w:bottom w:val="none" w:sz="0" w:space="0" w:color="auto"/>
        <w:right w:val="none" w:sz="0" w:space="0" w:color="auto"/>
      </w:divBdr>
    </w:div>
    <w:div w:id="869798369">
      <w:bodyDiv w:val="1"/>
      <w:marLeft w:val="0"/>
      <w:marRight w:val="0"/>
      <w:marTop w:val="0"/>
      <w:marBottom w:val="0"/>
      <w:divBdr>
        <w:top w:val="none" w:sz="0" w:space="0" w:color="auto"/>
        <w:left w:val="none" w:sz="0" w:space="0" w:color="auto"/>
        <w:bottom w:val="none" w:sz="0" w:space="0" w:color="auto"/>
        <w:right w:val="none" w:sz="0" w:space="0" w:color="auto"/>
      </w:divBdr>
    </w:div>
    <w:div w:id="873155913">
      <w:bodyDiv w:val="1"/>
      <w:marLeft w:val="0"/>
      <w:marRight w:val="0"/>
      <w:marTop w:val="0"/>
      <w:marBottom w:val="0"/>
      <w:divBdr>
        <w:top w:val="none" w:sz="0" w:space="0" w:color="auto"/>
        <w:left w:val="none" w:sz="0" w:space="0" w:color="auto"/>
        <w:bottom w:val="none" w:sz="0" w:space="0" w:color="auto"/>
        <w:right w:val="none" w:sz="0" w:space="0" w:color="auto"/>
      </w:divBdr>
    </w:div>
    <w:div w:id="873926839">
      <w:bodyDiv w:val="1"/>
      <w:marLeft w:val="0"/>
      <w:marRight w:val="0"/>
      <w:marTop w:val="0"/>
      <w:marBottom w:val="0"/>
      <w:divBdr>
        <w:top w:val="none" w:sz="0" w:space="0" w:color="auto"/>
        <w:left w:val="none" w:sz="0" w:space="0" w:color="auto"/>
        <w:bottom w:val="none" w:sz="0" w:space="0" w:color="auto"/>
        <w:right w:val="none" w:sz="0" w:space="0" w:color="auto"/>
      </w:divBdr>
    </w:div>
    <w:div w:id="887764911">
      <w:bodyDiv w:val="1"/>
      <w:marLeft w:val="0"/>
      <w:marRight w:val="0"/>
      <w:marTop w:val="0"/>
      <w:marBottom w:val="0"/>
      <w:divBdr>
        <w:top w:val="none" w:sz="0" w:space="0" w:color="auto"/>
        <w:left w:val="none" w:sz="0" w:space="0" w:color="auto"/>
        <w:bottom w:val="none" w:sz="0" w:space="0" w:color="auto"/>
        <w:right w:val="none" w:sz="0" w:space="0" w:color="auto"/>
      </w:divBdr>
    </w:div>
    <w:div w:id="891308382">
      <w:bodyDiv w:val="1"/>
      <w:marLeft w:val="0"/>
      <w:marRight w:val="0"/>
      <w:marTop w:val="0"/>
      <w:marBottom w:val="0"/>
      <w:divBdr>
        <w:top w:val="none" w:sz="0" w:space="0" w:color="auto"/>
        <w:left w:val="none" w:sz="0" w:space="0" w:color="auto"/>
        <w:bottom w:val="none" w:sz="0" w:space="0" w:color="auto"/>
        <w:right w:val="none" w:sz="0" w:space="0" w:color="auto"/>
      </w:divBdr>
    </w:div>
    <w:div w:id="901067315">
      <w:bodyDiv w:val="1"/>
      <w:marLeft w:val="0"/>
      <w:marRight w:val="0"/>
      <w:marTop w:val="0"/>
      <w:marBottom w:val="0"/>
      <w:divBdr>
        <w:top w:val="none" w:sz="0" w:space="0" w:color="auto"/>
        <w:left w:val="none" w:sz="0" w:space="0" w:color="auto"/>
        <w:bottom w:val="none" w:sz="0" w:space="0" w:color="auto"/>
        <w:right w:val="none" w:sz="0" w:space="0" w:color="auto"/>
      </w:divBdr>
    </w:div>
    <w:div w:id="912008230">
      <w:bodyDiv w:val="1"/>
      <w:marLeft w:val="0"/>
      <w:marRight w:val="0"/>
      <w:marTop w:val="0"/>
      <w:marBottom w:val="0"/>
      <w:divBdr>
        <w:top w:val="none" w:sz="0" w:space="0" w:color="auto"/>
        <w:left w:val="none" w:sz="0" w:space="0" w:color="auto"/>
        <w:bottom w:val="none" w:sz="0" w:space="0" w:color="auto"/>
        <w:right w:val="none" w:sz="0" w:space="0" w:color="auto"/>
      </w:divBdr>
    </w:div>
    <w:div w:id="968703978">
      <w:bodyDiv w:val="1"/>
      <w:marLeft w:val="0"/>
      <w:marRight w:val="0"/>
      <w:marTop w:val="0"/>
      <w:marBottom w:val="0"/>
      <w:divBdr>
        <w:top w:val="none" w:sz="0" w:space="0" w:color="auto"/>
        <w:left w:val="none" w:sz="0" w:space="0" w:color="auto"/>
        <w:bottom w:val="none" w:sz="0" w:space="0" w:color="auto"/>
        <w:right w:val="none" w:sz="0" w:space="0" w:color="auto"/>
      </w:divBdr>
    </w:div>
    <w:div w:id="990669718">
      <w:bodyDiv w:val="1"/>
      <w:marLeft w:val="0"/>
      <w:marRight w:val="0"/>
      <w:marTop w:val="0"/>
      <w:marBottom w:val="0"/>
      <w:divBdr>
        <w:top w:val="none" w:sz="0" w:space="0" w:color="auto"/>
        <w:left w:val="none" w:sz="0" w:space="0" w:color="auto"/>
        <w:bottom w:val="none" w:sz="0" w:space="0" w:color="auto"/>
        <w:right w:val="none" w:sz="0" w:space="0" w:color="auto"/>
      </w:divBdr>
    </w:div>
    <w:div w:id="998339707">
      <w:bodyDiv w:val="1"/>
      <w:marLeft w:val="0"/>
      <w:marRight w:val="0"/>
      <w:marTop w:val="0"/>
      <w:marBottom w:val="0"/>
      <w:divBdr>
        <w:top w:val="none" w:sz="0" w:space="0" w:color="auto"/>
        <w:left w:val="none" w:sz="0" w:space="0" w:color="auto"/>
        <w:bottom w:val="none" w:sz="0" w:space="0" w:color="auto"/>
        <w:right w:val="none" w:sz="0" w:space="0" w:color="auto"/>
      </w:divBdr>
    </w:div>
    <w:div w:id="1025910913">
      <w:bodyDiv w:val="1"/>
      <w:marLeft w:val="0"/>
      <w:marRight w:val="0"/>
      <w:marTop w:val="0"/>
      <w:marBottom w:val="0"/>
      <w:divBdr>
        <w:top w:val="none" w:sz="0" w:space="0" w:color="auto"/>
        <w:left w:val="none" w:sz="0" w:space="0" w:color="auto"/>
        <w:bottom w:val="none" w:sz="0" w:space="0" w:color="auto"/>
        <w:right w:val="none" w:sz="0" w:space="0" w:color="auto"/>
      </w:divBdr>
    </w:div>
    <w:div w:id="1026711814">
      <w:bodyDiv w:val="1"/>
      <w:marLeft w:val="0"/>
      <w:marRight w:val="0"/>
      <w:marTop w:val="0"/>
      <w:marBottom w:val="0"/>
      <w:divBdr>
        <w:top w:val="none" w:sz="0" w:space="0" w:color="auto"/>
        <w:left w:val="none" w:sz="0" w:space="0" w:color="auto"/>
        <w:bottom w:val="none" w:sz="0" w:space="0" w:color="auto"/>
        <w:right w:val="none" w:sz="0" w:space="0" w:color="auto"/>
      </w:divBdr>
      <w:divsChild>
        <w:div w:id="1140920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2660291">
      <w:bodyDiv w:val="1"/>
      <w:marLeft w:val="0"/>
      <w:marRight w:val="0"/>
      <w:marTop w:val="0"/>
      <w:marBottom w:val="0"/>
      <w:divBdr>
        <w:top w:val="none" w:sz="0" w:space="0" w:color="auto"/>
        <w:left w:val="none" w:sz="0" w:space="0" w:color="auto"/>
        <w:bottom w:val="none" w:sz="0" w:space="0" w:color="auto"/>
        <w:right w:val="none" w:sz="0" w:space="0" w:color="auto"/>
      </w:divBdr>
    </w:div>
    <w:div w:id="1075126390">
      <w:bodyDiv w:val="1"/>
      <w:marLeft w:val="0"/>
      <w:marRight w:val="0"/>
      <w:marTop w:val="0"/>
      <w:marBottom w:val="0"/>
      <w:divBdr>
        <w:top w:val="none" w:sz="0" w:space="0" w:color="auto"/>
        <w:left w:val="none" w:sz="0" w:space="0" w:color="auto"/>
        <w:bottom w:val="none" w:sz="0" w:space="0" w:color="auto"/>
        <w:right w:val="none" w:sz="0" w:space="0" w:color="auto"/>
      </w:divBdr>
    </w:div>
    <w:div w:id="1079138407">
      <w:bodyDiv w:val="1"/>
      <w:marLeft w:val="0"/>
      <w:marRight w:val="0"/>
      <w:marTop w:val="0"/>
      <w:marBottom w:val="0"/>
      <w:divBdr>
        <w:top w:val="none" w:sz="0" w:space="0" w:color="auto"/>
        <w:left w:val="none" w:sz="0" w:space="0" w:color="auto"/>
        <w:bottom w:val="none" w:sz="0" w:space="0" w:color="auto"/>
        <w:right w:val="none" w:sz="0" w:space="0" w:color="auto"/>
      </w:divBdr>
    </w:div>
    <w:div w:id="1111633892">
      <w:bodyDiv w:val="1"/>
      <w:marLeft w:val="0"/>
      <w:marRight w:val="0"/>
      <w:marTop w:val="0"/>
      <w:marBottom w:val="0"/>
      <w:divBdr>
        <w:top w:val="none" w:sz="0" w:space="0" w:color="auto"/>
        <w:left w:val="none" w:sz="0" w:space="0" w:color="auto"/>
        <w:bottom w:val="none" w:sz="0" w:space="0" w:color="auto"/>
        <w:right w:val="none" w:sz="0" w:space="0" w:color="auto"/>
      </w:divBdr>
      <w:divsChild>
        <w:div w:id="1071658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6749880">
      <w:bodyDiv w:val="1"/>
      <w:marLeft w:val="0"/>
      <w:marRight w:val="0"/>
      <w:marTop w:val="0"/>
      <w:marBottom w:val="0"/>
      <w:divBdr>
        <w:top w:val="none" w:sz="0" w:space="0" w:color="auto"/>
        <w:left w:val="none" w:sz="0" w:space="0" w:color="auto"/>
        <w:bottom w:val="none" w:sz="0" w:space="0" w:color="auto"/>
        <w:right w:val="none" w:sz="0" w:space="0" w:color="auto"/>
      </w:divBdr>
    </w:div>
    <w:div w:id="1134828722">
      <w:bodyDiv w:val="1"/>
      <w:marLeft w:val="0"/>
      <w:marRight w:val="0"/>
      <w:marTop w:val="0"/>
      <w:marBottom w:val="0"/>
      <w:divBdr>
        <w:top w:val="none" w:sz="0" w:space="0" w:color="auto"/>
        <w:left w:val="none" w:sz="0" w:space="0" w:color="auto"/>
        <w:bottom w:val="none" w:sz="0" w:space="0" w:color="auto"/>
        <w:right w:val="none" w:sz="0" w:space="0" w:color="auto"/>
      </w:divBdr>
    </w:div>
    <w:div w:id="1150291388">
      <w:bodyDiv w:val="1"/>
      <w:marLeft w:val="0"/>
      <w:marRight w:val="0"/>
      <w:marTop w:val="0"/>
      <w:marBottom w:val="0"/>
      <w:divBdr>
        <w:top w:val="none" w:sz="0" w:space="0" w:color="auto"/>
        <w:left w:val="none" w:sz="0" w:space="0" w:color="auto"/>
        <w:bottom w:val="none" w:sz="0" w:space="0" w:color="auto"/>
        <w:right w:val="none" w:sz="0" w:space="0" w:color="auto"/>
      </w:divBdr>
    </w:div>
    <w:div w:id="1174610814">
      <w:bodyDiv w:val="1"/>
      <w:marLeft w:val="0"/>
      <w:marRight w:val="0"/>
      <w:marTop w:val="0"/>
      <w:marBottom w:val="0"/>
      <w:divBdr>
        <w:top w:val="none" w:sz="0" w:space="0" w:color="auto"/>
        <w:left w:val="none" w:sz="0" w:space="0" w:color="auto"/>
        <w:bottom w:val="none" w:sz="0" w:space="0" w:color="auto"/>
        <w:right w:val="none" w:sz="0" w:space="0" w:color="auto"/>
      </w:divBdr>
    </w:div>
    <w:div w:id="1187520798">
      <w:bodyDiv w:val="1"/>
      <w:marLeft w:val="0"/>
      <w:marRight w:val="0"/>
      <w:marTop w:val="0"/>
      <w:marBottom w:val="0"/>
      <w:divBdr>
        <w:top w:val="none" w:sz="0" w:space="0" w:color="auto"/>
        <w:left w:val="none" w:sz="0" w:space="0" w:color="auto"/>
        <w:bottom w:val="none" w:sz="0" w:space="0" w:color="auto"/>
        <w:right w:val="none" w:sz="0" w:space="0" w:color="auto"/>
      </w:divBdr>
    </w:div>
    <w:div w:id="1206912199">
      <w:bodyDiv w:val="1"/>
      <w:marLeft w:val="0"/>
      <w:marRight w:val="0"/>
      <w:marTop w:val="0"/>
      <w:marBottom w:val="0"/>
      <w:divBdr>
        <w:top w:val="none" w:sz="0" w:space="0" w:color="auto"/>
        <w:left w:val="none" w:sz="0" w:space="0" w:color="auto"/>
        <w:bottom w:val="none" w:sz="0" w:space="0" w:color="auto"/>
        <w:right w:val="none" w:sz="0" w:space="0" w:color="auto"/>
      </w:divBdr>
    </w:div>
    <w:div w:id="1215849730">
      <w:bodyDiv w:val="1"/>
      <w:marLeft w:val="0"/>
      <w:marRight w:val="0"/>
      <w:marTop w:val="0"/>
      <w:marBottom w:val="0"/>
      <w:divBdr>
        <w:top w:val="none" w:sz="0" w:space="0" w:color="auto"/>
        <w:left w:val="none" w:sz="0" w:space="0" w:color="auto"/>
        <w:bottom w:val="none" w:sz="0" w:space="0" w:color="auto"/>
        <w:right w:val="none" w:sz="0" w:space="0" w:color="auto"/>
      </w:divBdr>
      <w:divsChild>
        <w:div w:id="928580699">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226990768">
      <w:bodyDiv w:val="1"/>
      <w:marLeft w:val="0"/>
      <w:marRight w:val="0"/>
      <w:marTop w:val="0"/>
      <w:marBottom w:val="0"/>
      <w:divBdr>
        <w:top w:val="none" w:sz="0" w:space="0" w:color="auto"/>
        <w:left w:val="none" w:sz="0" w:space="0" w:color="auto"/>
        <w:bottom w:val="none" w:sz="0" w:space="0" w:color="auto"/>
        <w:right w:val="none" w:sz="0" w:space="0" w:color="auto"/>
      </w:divBdr>
    </w:div>
    <w:div w:id="1248416983">
      <w:bodyDiv w:val="1"/>
      <w:marLeft w:val="0"/>
      <w:marRight w:val="0"/>
      <w:marTop w:val="0"/>
      <w:marBottom w:val="0"/>
      <w:divBdr>
        <w:top w:val="none" w:sz="0" w:space="0" w:color="auto"/>
        <w:left w:val="none" w:sz="0" w:space="0" w:color="auto"/>
        <w:bottom w:val="none" w:sz="0" w:space="0" w:color="auto"/>
        <w:right w:val="none" w:sz="0" w:space="0" w:color="auto"/>
      </w:divBdr>
    </w:div>
    <w:div w:id="1256863254">
      <w:bodyDiv w:val="1"/>
      <w:marLeft w:val="0"/>
      <w:marRight w:val="0"/>
      <w:marTop w:val="0"/>
      <w:marBottom w:val="0"/>
      <w:divBdr>
        <w:top w:val="none" w:sz="0" w:space="0" w:color="auto"/>
        <w:left w:val="none" w:sz="0" w:space="0" w:color="auto"/>
        <w:bottom w:val="none" w:sz="0" w:space="0" w:color="auto"/>
        <w:right w:val="none" w:sz="0" w:space="0" w:color="auto"/>
      </w:divBdr>
      <w:divsChild>
        <w:div w:id="363101184">
          <w:marLeft w:val="0"/>
          <w:marRight w:val="0"/>
          <w:marTop w:val="0"/>
          <w:marBottom w:val="0"/>
          <w:divBdr>
            <w:top w:val="none" w:sz="0" w:space="0" w:color="auto"/>
            <w:left w:val="none" w:sz="0" w:space="0" w:color="auto"/>
            <w:bottom w:val="none" w:sz="0" w:space="0" w:color="auto"/>
            <w:right w:val="none" w:sz="0" w:space="0" w:color="auto"/>
          </w:divBdr>
        </w:div>
        <w:div w:id="1193108107">
          <w:marLeft w:val="0"/>
          <w:marRight w:val="0"/>
          <w:marTop w:val="0"/>
          <w:marBottom w:val="0"/>
          <w:divBdr>
            <w:top w:val="none" w:sz="0" w:space="0" w:color="auto"/>
            <w:left w:val="none" w:sz="0" w:space="0" w:color="auto"/>
            <w:bottom w:val="none" w:sz="0" w:space="0" w:color="auto"/>
            <w:right w:val="none" w:sz="0" w:space="0" w:color="auto"/>
          </w:divBdr>
        </w:div>
      </w:divsChild>
    </w:div>
    <w:div w:id="1288242383">
      <w:bodyDiv w:val="1"/>
      <w:marLeft w:val="0"/>
      <w:marRight w:val="0"/>
      <w:marTop w:val="0"/>
      <w:marBottom w:val="0"/>
      <w:divBdr>
        <w:top w:val="none" w:sz="0" w:space="0" w:color="auto"/>
        <w:left w:val="none" w:sz="0" w:space="0" w:color="auto"/>
        <w:bottom w:val="none" w:sz="0" w:space="0" w:color="auto"/>
        <w:right w:val="none" w:sz="0" w:space="0" w:color="auto"/>
      </w:divBdr>
      <w:divsChild>
        <w:div w:id="78461580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08239094">
      <w:bodyDiv w:val="1"/>
      <w:marLeft w:val="0"/>
      <w:marRight w:val="0"/>
      <w:marTop w:val="0"/>
      <w:marBottom w:val="0"/>
      <w:divBdr>
        <w:top w:val="none" w:sz="0" w:space="0" w:color="auto"/>
        <w:left w:val="none" w:sz="0" w:space="0" w:color="auto"/>
        <w:bottom w:val="none" w:sz="0" w:space="0" w:color="auto"/>
        <w:right w:val="none" w:sz="0" w:space="0" w:color="auto"/>
      </w:divBdr>
    </w:div>
    <w:div w:id="1341160920">
      <w:bodyDiv w:val="1"/>
      <w:marLeft w:val="0"/>
      <w:marRight w:val="0"/>
      <w:marTop w:val="0"/>
      <w:marBottom w:val="0"/>
      <w:divBdr>
        <w:top w:val="none" w:sz="0" w:space="0" w:color="auto"/>
        <w:left w:val="none" w:sz="0" w:space="0" w:color="auto"/>
        <w:bottom w:val="none" w:sz="0" w:space="0" w:color="auto"/>
        <w:right w:val="none" w:sz="0" w:space="0" w:color="auto"/>
      </w:divBdr>
    </w:div>
    <w:div w:id="1348213802">
      <w:bodyDiv w:val="1"/>
      <w:marLeft w:val="0"/>
      <w:marRight w:val="0"/>
      <w:marTop w:val="0"/>
      <w:marBottom w:val="0"/>
      <w:divBdr>
        <w:top w:val="none" w:sz="0" w:space="0" w:color="auto"/>
        <w:left w:val="none" w:sz="0" w:space="0" w:color="auto"/>
        <w:bottom w:val="none" w:sz="0" w:space="0" w:color="auto"/>
        <w:right w:val="none" w:sz="0" w:space="0" w:color="auto"/>
      </w:divBdr>
    </w:div>
    <w:div w:id="1369186994">
      <w:bodyDiv w:val="1"/>
      <w:marLeft w:val="0"/>
      <w:marRight w:val="0"/>
      <w:marTop w:val="0"/>
      <w:marBottom w:val="0"/>
      <w:divBdr>
        <w:top w:val="none" w:sz="0" w:space="0" w:color="auto"/>
        <w:left w:val="none" w:sz="0" w:space="0" w:color="auto"/>
        <w:bottom w:val="none" w:sz="0" w:space="0" w:color="auto"/>
        <w:right w:val="none" w:sz="0" w:space="0" w:color="auto"/>
      </w:divBdr>
    </w:div>
    <w:div w:id="1382941208">
      <w:bodyDiv w:val="1"/>
      <w:marLeft w:val="0"/>
      <w:marRight w:val="0"/>
      <w:marTop w:val="0"/>
      <w:marBottom w:val="0"/>
      <w:divBdr>
        <w:top w:val="none" w:sz="0" w:space="0" w:color="auto"/>
        <w:left w:val="none" w:sz="0" w:space="0" w:color="auto"/>
        <w:bottom w:val="none" w:sz="0" w:space="0" w:color="auto"/>
        <w:right w:val="none" w:sz="0" w:space="0" w:color="auto"/>
      </w:divBdr>
    </w:div>
    <w:div w:id="1407993354">
      <w:bodyDiv w:val="1"/>
      <w:marLeft w:val="0"/>
      <w:marRight w:val="0"/>
      <w:marTop w:val="0"/>
      <w:marBottom w:val="0"/>
      <w:divBdr>
        <w:top w:val="none" w:sz="0" w:space="0" w:color="auto"/>
        <w:left w:val="none" w:sz="0" w:space="0" w:color="auto"/>
        <w:bottom w:val="none" w:sz="0" w:space="0" w:color="auto"/>
        <w:right w:val="none" w:sz="0" w:space="0" w:color="auto"/>
      </w:divBdr>
    </w:div>
    <w:div w:id="1408500437">
      <w:bodyDiv w:val="1"/>
      <w:marLeft w:val="0"/>
      <w:marRight w:val="0"/>
      <w:marTop w:val="0"/>
      <w:marBottom w:val="0"/>
      <w:divBdr>
        <w:top w:val="none" w:sz="0" w:space="0" w:color="auto"/>
        <w:left w:val="none" w:sz="0" w:space="0" w:color="auto"/>
        <w:bottom w:val="none" w:sz="0" w:space="0" w:color="auto"/>
        <w:right w:val="none" w:sz="0" w:space="0" w:color="auto"/>
      </w:divBdr>
    </w:div>
    <w:div w:id="1422945166">
      <w:bodyDiv w:val="1"/>
      <w:marLeft w:val="0"/>
      <w:marRight w:val="0"/>
      <w:marTop w:val="0"/>
      <w:marBottom w:val="0"/>
      <w:divBdr>
        <w:top w:val="none" w:sz="0" w:space="0" w:color="auto"/>
        <w:left w:val="none" w:sz="0" w:space="0" w:color="auto"/>
        <w:bottom w:val="none" w:sz="0" w:space="0" w:color="auto"/>
        <w:right w:val="none" w:sz="0" w:space="0" w:color="auto"/>
      </w:divBdr>
    </w:div>
    <w:div w:id="1432117654">
      <w:bodyDiv w:val="1"/>
      <w:marLeft w:val="0"/>
      <w:marRight w:val="0"/>
      <w:marTop w:val="0"/>
      <w:marBottom w:val="0"/>
      <w:divBdr>
        <w:top w:val="none" w:sz="0" w:space="0" w:color="auto"/>
        <w:left w:val="none" w:sz="0" w:space="0" w:color="auto"/>
        <w:bottom w:val="none" w:sz="0" w:space="0" w:color="auto"/>
        <w:right w:val="none" w:sz="0" w:space="0" w:color="auto"/>
      </w:divBdr>
    </w:div>
    <w:div w:id="1469590437">
      <w:bodyDiv w:val="1"/>
      <w:marLeft w:val="0"/>
      <w:marRight w:val="0"/>
      <w:marTop w:val="0"/>
      <w:marBottom w:val="0"/>
      <w:divBdr>
        <w:top w:val="none" w:sz="0" w:space="0" w:color="auto"/>
        <w:left w:val="none" w:sz="0" w:space="0" w:color="auto"/>
        <w:bottom w:val="none" w:sz="0" w:space="0" w:color="auto"/>
        <w:right w:val="none" w:sz="0" w:space="0" w:color="auto"/>
      </w:divBdr>
    </w:div>
    <w:div w:id="1469712042">
      <w:bodyDiv w:val="1"/>
      <w:marLeft w:val="0"/>
      <w:marRight w:val="0"/>
      <w:marTop w:val="0"/>
      <w:marBottom w:val="0"/>
      <w:divBdr>
        <w:top w:val="none" w:sz="0" w:space="0" w:color="auto"/>
        <w:left w:val="none" w:sz="0" w:space="0" w:color="auto"/>
        <w:bottom w:val="none" w:sz="0" w:space="0" w:color="auto"/>
        <w:right w:val="none" w:sz="0" w:space="0" w:color="auto"/>
      </w:divBdr>
    </w:div>
    <w:div w:id="1539513646">
      <w:bodyDiv w:val="1"/>
      <w:marLeft w:val="0"/>
      <w:marRight w:val="0"/>
      <w:marTop w:val="0"/>
      <w:marBottom w:val="0"/>
      <w:divBdr>
        <w:top w:val="none" w:sz="0" w:space="0" w:color="auto"/>
        <w:left w:val="none" w:sz="0" w:space="0" w:color="auto"/>
        <w:bottom w:val="none" w:sz="0" w:space="0" w:color="auto"/>
        <w:right w:val="none" w:sz="0" w:space="0" w:color="auto"/>
      </w:divBdr>
    </w:div>
    <w:div w:id="1550991894">
      <w:bodyDiv w:val="1"/>
      <w:marLeft w:val="0"/>
      <w:marRight w:val="0"/>
      <w:marTop w:val="0"/>
      <w:marBottom w:val="0"/>
      <w:divBdr>
        <w:top w:val="none" w:sz="0" w:space="0" w:color="auto"/>
        <w:left w:val="none" w:sz="0" w:space="0" w:color="auto"/>
        <w:bottom w:val="none" w:sz="0" w:space="0" w:color="auto"/>
        <w:right w:val="none" w:sz="0" w:space="0" w:color="auto"/>
      </w:divBdr>
    </w:div>
    <w:div w:id="1570534795">
      <w:bodyDiv w:val="1"/>
      <w:marLeft w:val="0"/>
      <w:marRight w:val="0"/>
      <w:marTop w:val="0"/>
      <w:marBottom w:val="0"/>
      <w:divBdr>
        <w:top w:val="none" w:sz="0" w:space="0" w:color="auto"/>
        <w:left w:val="none" w:sz="0" w:space="0" w:color="auto"/>
        <w:bottom w:val="none" w:sz="0" w:space="0" w:color="auto"/>
        <w:right w:val="none" w:sz="0" w:space="0" w:color="auto"/>
      </w:divBdr>
    </w:div>
    <w:div w:id="1601133879">
      <w:bodyDiv w:val="1"/>
      <w:marLeft w:val="0"/>
      <w:marRight w:val="0"/>
      <w:marTop w:val="0"/>
      <w:marBottom w:val="0"/>
      <w:divBdr>
        <w:top w:val="none" w:sz="0" w:space="0" w:color="auto"/>
        <w:left w:val="none" w:sz="0" w:space="0" w:color="auto"/>
        <w:bottom w:val="none" w:sz="0" w:space="0" w:color="auto"/>
        <w:right w:val="none" w:sz="0" w:space="0" w:color="auto"/>
      </w:divBdr>
    </w:div>
    <w:div w:id="1603297222">
      <w:bodyDiv w:val="1"/>
      <w:marLeft w:val="0"/>
      <w:marRight w:val="0"/>
      <w:marTop w:val="0"/>
      <w:marBottom w:val="0"/>
      <w:divBdr>
        <w:top w:val="none" w:sz="0" w:space="0" w:color="auto"/>
        <w:left w:val="none" w:sz="0" w:space="0" w:color="auto"/>
        <w:bottom w:val="none" w:sz="0" w:space="0" w:color="auto"/>
        <w:right w:val="none" w:sz="0" w:space="0" w:color="auto"/>
      </w:divBdr>
    </w:div>
    <w:div w:id="1614898528">
      <w:bodyDiv w:val="1"/>
      <w:marLeft w:val="0"/>
      <w:marRight w:val="0"/>
      <w:marTop w:val="0"/>
      <w:marBottom w:val="0"/>
      <w:divBdr>
        <w:top w:val="none" w:sz="0" w:space="0" w:color="auto"/>
        <w:left w:val="none" w:sz="0" w:space="0" w:color="auto"/>
        <w:bottom w:val="none" w:sz="0" w:space="0" w:color="auto"/>
        <w:right w:val="none" w:sz="0" w:space="0" w:color="auto"/>
      </w:divBdr>
    </w:div>
    <w:div w:id="1632327378">
      <w:bodyDiv w:val="1"/>
      <w:marLeft w:val="0"/>
      <w:marRight w:val="0"/>
      <w:marTop w:val="0"/>
      <w:marBottom w:val="0"/>
      <w:divBdr>
        <w:top w:val="none" w:sz="0" w:space="0" w:color="auto"/>
        <w:left w:val="none" w:sz="0" w:space="0" w:color="auto"/>
        <w:bottom w:val="none" w:sz="0" w:space="0" w:color="auto"/>
        <w:right w:val="none" w:sz="0" w:space="0" w:color="auto"/>
      </w:divBdr>
    </w:div>
    <w:div w:id="1635452260">
      <w:bodyDiv w:val="1"/>
      <w:marLeft w:val="0"/>
      <w:marRight w:val="0"/>
      <w:marTop w:val="0"/>
      <w:marBottom w:val="0"/>
      <w:divBdr>
        <w:top w:val="none" w:sz="0" w:space="0" w:color="auto"/>
        <w:left w:val="none" w:sz="0" w:space="0" w:color="auto"/>
        <w:bottom w:val="none" w:sz="0" w:space="0" w:color="auto"/>
        <w:right w:val="none" w:sz="0" w:space="0" w:color="auto"/>
      </w:divBdr>
    </w:div>
    <w:div w:id="1638728215">
      <w:bodyDiv w:val="1"/>
      <w:marLeft w:val="0"/>
      <w:marRight w:val="0"/>
      <w:marTop w:val="0"/>
      <w:marBottom w:val="0"/>
      <w:divBdr>
        <w:top w:val="none" w:sz="0" w:space="0" w:color="auto"/>
        <w:left w:val="none" w:sz="0" w:space="0" w:color="auto"/>
        <w:bottom w:val="none" w:sz="0" w:space="0" w:color="auto"/>
        <w:right w:val="none" w:sz="0" w:space="0" w:color="auto"/>
      </w:divBdr>
    </w:div>
    <w:div w:id="1646662284">
      <w:bodyDiv w:val="1"/>
      <w:marLeft w:val="0"/>
      <w:marRight w:val="0"/>
      <w:marTop w:val="0"/>
      <w:marBottom w:val="0"/>
      <w:divBdr>
        <w:top w:val="none" w:sz="0" w:space="0" w:color="auto"/>
        <w:left w:val="none" w:sz="0" w:space="0" w:color="auto"/>
        <w:bottom w:val="none" w:sz="0" w:space="0" w:color="auto"/>
        <w:right w:val="none" w:sz="0" w:space="0" w:color="auto"/>
      </w:divBdr>
      <w:divsChild>
        <w:div w:id="237641699">
          <w:marLeft w:val="0"/>
          <w:marRight w:val="0"/>
          <w:marTop w:val="0"/>
          <w:marBottom w:val="0"/>
          <w:divBdr>
            <w:top w:val="none" w:sz="0" w:space="0" w:color="auto"/>
            <w:left w:val="none" w:sz="0" w:space="0" w:color="auto"/>
            <w:bottom w:val="none" w:sz="0" w:space="0" w:color="auto"/>
            <w:right w:val="none" w:sz="0" w:space="0" w:color="auto"/>
          </w:divBdr>
        </w:div>
        <w:div w:id="1123040184">
          <w:marLeft w:val="0"/>
          <w:marRight w:val="0"/>
          <w:marTop w:val="0"/>
          <w:marBottom w:val="0"/>
          <w:divBdr>
            <w:top w:val="none" w:sz="0" w:space="0" w:color="auto"/>
            <w:left w:val="none" w:sz="0" w:space="0" w:color="auto"/>
            <w:bottom w:val="none" w:sz="0" w:space="0" w:color="auto"/>
            <w:right w:val="none" w:sz="0" w:space="0" w:color="auto"/>
          </w:divBdr>
        </w:div>
      </w:divsChild>
    </w:div>
    <w:div w:id="1651205543">
      <w:bodyDiv w:val="1"/>
      <w:marLeft w:val="0"/>
      <w:marRight w:val="0"/>
      <w:marTop w:val="0"/>
      <w:marBottom w:val="0"/>
      <w:divBdr>
        <w:top w:val="none" w:sz="0" w:space="0" w:color="auto"/>
        <w:left w:val="none" w:sz="0" w:space="0" w:color="auto"/>
        <w:bottom w:val="none" w:sz="0" w:space="0" w:color="auto"/>
        <w:right w:val="none" w:sz="0" w:space="0" w:color="auto"/>
      </w:divBdr>
    </w:div>
    <w:div w:id="1651789977">
      <w:bodyDiv w:val="1"/>
      <w:marLeft w:val="0"/>
      <w:marRight w:val="0"/>
      <w:marTop w:val="0"/>
      <w:marBottom w:val="0"/>
      <w:divBdr>
        <w:top w:val="none" w:sz="0" w:space="0" w:color="auto"/>
        <w:left w:val="none" w:sz="0" w:space="0" w:color="auto"/>
        <w:bottom w:val="none" w:sz="0" w:space="0" w:color="auto"/>
        <w:right w:val="none" w:sz="0" w:space="0" w:color="auto"/>
      </w:divBdr>
    </w:div>
    <w:div w:id="1681541734">
      <w:bodyDiv w:val="1"/>
      <w:marLeft w:val="0"/>
      <w:marRight w:val="0"/>
      <w:marTop w:val="0"/>
      <w:marBottom w:val="0"/>
      <w:divBdr>
        <w:top w:val="none" w:sz="0" w:space="0" w:color="auto"/>
        <w:left w:val="none" w:sz="0" w:space="0" w:color="auto"/>
        <w:bottom w:val="none" w:sz="0" w:space="0" w:color="auto"/>
        <w:right w:val="none" w:sz="0" w:space="0" w:color="auto"/>
      </w:divBdr>
    </w:div>
    <w:div w:id="1684624547">
      <w:bodyDiv w:val="1"/>
      <w:marLeft w:val="0"/>
      <w:marRight w:val="0"/>
      <w:marTop w:val="0"/>
      <w:marBottom w:val="0"/>
      <w:divBdr>
        <w:top w:val="none" w:sz="0" w:space="0" w:color="auto"/>
        <w:left w:val="none" w:sz="0" w:space="0" w:color="auto"/>
        <w:bottom w:val="none" w:sz="0" w:space="0" w:color="auto"/>
        <w:right w:val="none" w:sz="0" w:space="0" w:color="auto"/>
      </w:divBdr>
    </w:div>
    <w:div w:id="1687629815">
      <w:bodyDiv w:val="1"/>
      <w:marLeft w:val="0"/>
      <w:marRight w:val="0"/>
      <w:marTop w:val="0"/>
      <w:marBottom w:val="0"/>
      <w:divBdr>
        <w:top w:val="none" w:sz="0" w:space="0" w:color="auto"/>
        <w:left w:val="none" w:sz="0" w:space="0" w:color="auto"/>
        <w:bottom w:val="none" w:sz="0" w:space="0" w:color="auto"/>
        <w:right w:val="none" w:sz="0" w:space="0" w:color="auto"/>
      </w:divBdr>
    </w:div>
    <w:div w:id="1696613709">
      <w:bodyDiv w:val="1"/>
      <w:marLeft w:val="0"/>
      <w:marRight w:val="0"/>
      <w:marTop w:val="0"/>
      <w:marBottom w:val="0"/>
      <w:divBdr>
        <w:top w:val="none" w:sz="0" w:space="0" w:color="auto"/>
        <w:left w:val="none" w:sz="0" w:space="0" w:color="auto"/>
        <w:bottom w:val="none" w:sz="0" w:space="0" w:color="auto"/>
        <w:right w:val="none" w:sz="0" w:space="0" w:color="auto"/>
      </w:divBdr>
      <w:divsChild>
        <w:div w:id="24867154">
          <w:marLeft w:val="0"/>
          <w:marRight w:val="0"/>
          <w:marTop w:val="0"/>
          <w:marBottom w:val="0"/>
          <w:divBdr>
            <w:top w:val="none" w:sz="0" w:space="0" w:color="auto"/>
            <w:left w:val="none" w:sz="0" w:space="0" w:color="auto"/>
            <w:bottom w:val="none" w:sz="0" w:space="0" w:color="auto"/>
            <w:right w:val="none" w:sz="0" w:space="0" w:color="auto"/>
          </w:divBdr>
        </w:div>
        <w:div w:id="171457916">
          <w:marLeft w:val="0"/>
          <w:marRight w:val="0"/>
          <w:marTop w:val="0"/>
          <w:marBottom w:val="0"/>
          <w:divBdr>
            <w:top w:val="none" w:sz="0" w:space="0" w:color="auto"/>
            <w:left w:val="none" w:sz="0" w:space="0" w:color="auto"/>
            <w:bottom w:val="none" w:sz="0" w:space="0" w:color="auto"/>
            <w:right w:val="none" w:sz="0" w:space="0" w:color="auto"/>
          </w:divBdr>
        </w:div>
        <w:div w:id="222182798">
          <w:marLeft w:val="0"/>
          <w:marRight w:val="0"/>
          <w:marTop w:val="0"/>
          <w:marBottom w:val="0"/>
          <w:divBdr>
            <w:top w:val="none" w:sz="0" w:space="0" w:color="auto"/>
            <w:left w:val="none" w:sz="0" w:space="0" w:color="auto"/>
            <w:bottom w:val="none" w:sz="0" w:space="0" w:color="auto"/>
            <w:right w:val="none" w:sz="0" w:space="0" w:color="auto"/>
          </w:divBdr>
        </w:div>
        <w:div w:id="457333043">
          <w:marLeft w:val="0"/>
          <w:marRight w:val="0"/>
          <w:marTop w:val="0"/>
          <w:marBottom w:val="0"/>
          <w:divBdr>
            <w:top w:val="none" w:sz="0" w:space="0" w:color="auto"/>
            <w:left w:val="none" w:sz="0" w:space="0" w:color="auto"/>
            <w:bottom w:val="none" w:sz="0" w:space="0" w:color="auto"/>
            <w:right w:val="none" w:sz="0" w:space="0" w:color="auto"/>
          </w:divBdr>
        </w:div>
        <w:div w:id="652953934">
          <w:marLeft w:val="0"/>
          <w:marRight w:val="0"/>
          <w:marTop w:val="0"/>
          <w:marBottom w:val="0"/>
          <w:divBdr>
            <w:top w:val="none" w:sz="0" w:space="0" w:color="auto"/>
            <w:left w:val="none" w:sz="0" w:space="0" w:color="auto"/>
            <w:bottom w:val="none" w:sz="0" w:space="0" w:color="auto"/>
            <w:right w:val="none" w:sz="0" w:space="0" w:color="auto"/>
          </w:divBdr>
        </w:div>
        <w:div w:id="1200050388">
          <w:marLeft w:val="0"/>
          <w:marRight w:val="0"/>
          <w:marTop w:val="0"/>
          <w:marBottom w:val="0"/>
          <w:divBdr>
            <w:top w:val="none" w:sz="0" w:space="0" w:color="auto"/>
            <w:left w:val="none" w:sz="0" w:space="0" w:color="auto"/>
            <w:bottom w:val="none" w:sz="0" w:space="0" w:color="auto"/>
            <w:right w:val="none" w:sz="0" w:space="0" w:color="auto"/>
          </w:divBdr>
        </w:div>
        <w:div w:id="1581334145">
          <w:marLeft w:val="0"/>
          <w:marRight w:val="0"/>
          <w:marTop w:val="0"/>
          <w:marBottom w:val="0"/>
          <w:divBdr>
            <w:top w:val="none" w:sz="0" w:space="0" w:color="auto"/>
            <w:left w:val="none" w:sz="0" w:space="0" w:color="auto"/>
            <w:bottom w:val="none" w:sz="0" w:space="0" w:color="auto"/>
            <w:right w:val="none" w:sz="0" w:space="0" w:color="auto"/>
          </w:divBdr>
        </w:div>
        <w:div w:id="1975132131">
          <w:marLeft w:val="0"/>
          <w:marRight w:val="0"/>
          <w:marTop w:val="0"/>
          <w:marBottom w:val="0"/>
          <w:divBdr>
            <w:top w:val="none" w:sz="0" w:space="0" w:color="auto"/>
            <w:left w:val="none" w:sz="0" w:space="0" w:color="auto"/>
            <w:bottom w:val="none" w:sz="0" w:space="0" w:color="auto"/>
            <w:right w:val="none" w:sz="0" w:space="0" w:color="auto"/>
          </w:divBdr>
        </w:div>
      </w:divsChild>
    </w:div>
    <w:div w:id="1698388975">
      <w:bodyDiv w:val="1"/>
      <w:marLeft w:val="0"/>
      <w:marRight w:val="0"/>
      <w:marTop w:val="0"/>
      <w:marBottom w:val="0"/>
      <w:divBdr>
        <w:top w:val="none" w:sz="0" w:space="0" w:color="auto"/>
        <w:left w:val="none" w:sz="0" w:space="0" w:color="auto"/>
        <w:bottom w:val="none" w:sz="0" w:space="0" w:color="auto"/>
        <w:right w:val="none" w:sz="0" w:space="0" w:color="auto"/>
      </w:divBdr>
    </w:div>
    <w:div w:id="1700664564">
      <w:bodyDiv w:val="1"/>
      <w:marLeft w:val="0"/>
      <w:marRight w:val="0"/>
      <w:marTop w:val="0"/>
      <w:marBottom w:val="0"/>
      <w:divBdr>
        <w:top w:val="none" w:sz="0" w:space="0" w:color="auto"/>
        <w:left w:val="none" w:sz="0" w:space="0" w:color="auto"/>
        <w:bottom w:val="none" w:sz="0" w:space="0" w:color="auto"/>
        <w:right w:val="none" w:sz="0" w:space="0" w:color="auto"/>
      </w:divBdr>
    </w:div>
    <w:div w:id="1706520992">
      <w:bodyDiv w:val="1"/>
      <w:marLeft w:val="0"/>
      <w:marRight w:val="0"/>
      <w:marTop w:val="0"/>
      <w:marBottom w:val="0"/>
      <w:divBdr>
        <w:top w:val="none" w:sz="0" w:space="0" w:color="auto"/>
        <w:left w:val="none" w:sz="0" w:space="0" w:color="auto"/>
        <w:bottom w:val="none" w:sz="0" w:space="0" w:color="auto"/>
        <w:right w:val="none" w:sz="0" w:space="0" w:color="auto"/>
      </w:divBdr>
      <w:divsChild>
        <w:div w:id="21907632">
          <w:marLeft w:val="0"/>
          <w:marRight w:val="0"/>
          <w:marTop w:val="0"/>
          <w:marBottom w:val="0"/>
          <w:divBdr>
            <w:top w:val="none" w:sz="0" w:space="0" w:color="auto"/>
            <w:left w:val="none" w:sz="0" w:space="0" w:color="auto"/>
            <w:bottom w:val="none" w:sz="0" w:space="0" w:color="auto"/>
            <w:right w:val="none" w:sz="0" w:space="0" w:color="auto"/>
          </w:divBdr>
          <w:divsChild>
            <w:div w:id="1698463035">
              <w:marLeft w:val="0"/>
              <w:marRight w:val="0"/>
              <w:marTop w:val="0"/>
              <w:marBottom w:val="0"/>
              <w:divBdr>
                <w:top w:val="none" w:sz="0" w:space="0" w:color="auto"/>
                <w:left w:val="none" w:sz="0" w:space="0" w:color="auto"/>
                <w:bottom w:val="none" w:sz="0" w:space="0" w:color="auto"/>
                <w:right w:val="none" w:sz="0" w:space="0" w:color="auto"/>
              </w:divBdr>
            </w:div>
            <w:div w:id="1738359986">
              <w:marLeft w:val="0"/>
              <w:marRight w:val="0"/>
              <w:marTop w:val="0"/>
              <w:marBottom w:val="0"/>
              <w:divBdr>
                <w:top w:val="none" w:sz="0" w:space="0" w:color="auto"/>
                <w:left w:val="none" w:sz="0" w:space="0" w:color="auto"/>
                <w:bottom w:val="none" w:sz="0" w:space="0" w:color="auto"/>
                <w:right w:val="none" w:sz="0" w:space="0" w:color="auto"/>
              </w:divBdr>
            </w:div>
          </w:divsChild>
        </w:div>
        <w:div w:id="193806541">
          <w:marLeft w:val="0"/>
          <w:marRight w:val="0"/>
          <w:marTop w:val="0"/>
          <w:marBottom w:val="0"/>
          <w:divBdr>
            <w:top w:val="none" w:sz="0" w:space="0" w:color="auto"/>
            <w:left w:val="none" w:sz="0" w:space="0" w:color="auto"/>
            <w:bottom w:val="none" w:sz="0" w:space="0" w:color="auto"/>
            <w:right w:val="none" w:sz="0" w:space="0" w:color="auto"/>
          </w:divBdr>
          <w:divsChild>
            <w:div w:id="292104495">
              <w:marLeft w:val="0"/>
              <w:marRight w:val="0"/>
              <w:marTop w:val="0"/>
              <w:marBottom w:val="0"/>
              <w:divBdr>
                <w:top w:val="none" w:sz="0" w:space="0" w:color="auto"/>
                <w:left w:val="none" w:sz="0" w:space="0" w:color="auto"/>
                <w:bottom w:val="none" w:sz="0" w:space="0" w:color="auto"/>
                <w:right w:val="none" w:sz="0" w:space="0" w:color="auto"/>
              </w:divBdr>
            </w:div>
          </w:divsChild>
        </w:div>
        <w:div w:id="292949200">
          <w:marLeft w:val="0"/>
          <w:marRight w:val="0"/>
          <w:marTop w:val="0"/>
          <w:marBottom w:val="0"/>
          <w:divBdr>
            <w:top w:val="none" w:sz="0" w:space="0" w:color="auto"/>
            <w:left w:val="none" w:sz="0" w:space="0" w:color="auto"/>
            <w:bottom w:val="none" w:sz="0" w:space="0" w:color="auto"/>
            <w:right w:val="none" w:sz="0" w:space="0" w:color="auto"/>
          </w:divBdr>
          <w:divsChild>
            <w:div w:id="30110592">
              <w:marLeft w:val="0"/>
              <w:marRight w:val="0"/>
              <w:marTop w:val="0"/>
              <w:marBottom w:val="0"/>
              <w:divBdr>
                <w:top w:val="none" w:sz="0" w:space="0" w:color="auto"/>
                <w:left w:val="none" w:sz="0" w:space="0" w:color="auto"/>
                <w:bottom w:val="none" w:sz="0" w:space="0" w:color="auto"/>
                <w:right w:val="none" w:sz="0" w:space="0" w:color="auto"/>
              </w:divBdr>
            </w:div>
          </w:divsChild>
        </w:div>
        <w:div w:id="346559447">
          <w:marLeft w:val="0"/>
          <w:marRight w:val="0"/>
          <w:marTop w:val="0"/>
          <w:marBottom w:val="0"/>
          <w:divBdr>
            <w:top w:val="none" w:sz="0" w:space="0" w:color="auto"/>
            <w:left w:val="none" w:sz="0" w:space="0" w:color="auto"/>
            <w:bottom w:val="none" w:sz="0" w:space="0" w:color="auto"/>
            <w:right w:val="none" w:sz="0" w:space="0" w:color="auto"/>
          </w:divBdr>
          <w:divsChild>
            <w:div w:id="1904873694">
              <w:marLeft w:val="0"/>
              <w:marRight w:val="0"/>
              <w:marTop w:val="0"/>
              <w:marBottom w:val="0"/>
              <w:divBdr>
                <w:top w:val="none" w:sz="0" w:space="0" w:color="auto"/>
                <w:left w:val="none" w:sz="0" w:space="0" w:color="auto"/>
                <w:bottom w:val="none" w:sz="0" w:space="0" w:color="auto"/>
                <w:right w:val="none" w:sz="0" w:space="0" w:color="auto"/>
              </w:divBdr>
            </w:div>
          </w:divsChild>
        </w:div>
        <w:div w:id="391853855">
          <w:marLeft w:val="0"/>
          <w:marRight w:val="0"/>
          <w:marTop w:val="0"/>
          <w:marBottom w:val="0"/>
          <w:divBdr>
            <w:top w:val="none" w:sz="0" w:space="0" w:color="auto"/>
            <w:left w:val="none" w:sz="0" w:space="0" w:color="auto"/>
            <w:bottom w:val="none" w:sz="0" w:space="0" w:color="auto"/>
            <w:right w:val="none" w:sz="0" w:space="0" w:color="auto"/>
          </w:divBdr>
          <w:divsChild>
            <w:div w:id="234703504">
              <w:marLeft w:val="0"/>
              <w:marRight w:val="0"/>
              <w:marTop w:val="0"/>
              <w:marBottom w:val="0"/>
              <w:divBdr>
                <w:top w:val="none" w:sz="0" w:space="0" w:color="auto"/>
                <w:left w:val="none" w:sz="0" w:space="0" w:color="auto"/>
                <w:bottom w:val="none" w:sz="0" w:space="0" w:color="auto"/>
                <w:right w:val="none" w:sz="0" w:space="0" w:color="auto"/>
              </w:divBdr>
            </w:div>
          </w:divsChild>
        </w:div>
        <w:div w:id="446319441">
          <w:marLeft w:val="0"/>
          <w:marRight w:val="0"/>
          <w:marTop w:val="0"/>
          <w:marBottom w:val="0"/>
          <w:divBdr>
            <w:top w:val="none" w:sz="0" w:space="0" w:color="auto"/>
            <w:left w:val="none" w:sz="0" w:space="0" w:color="auto"/>
            <w:bottom w:val="none" w:sz="0" w:space="0" w:color="auto"/>
            <w:right w:val="none" w:sz="0" w:space="0" w:color="auto"/>
          </w:divBdr>
          <w:divsChild>
            <w:div w:id="723454547">
              <w:marLeft w:val="0"/>
              <w:marRight w:val="0"/>
              <w:marTop w:val="0"/>
              <w:marBottom w:val="0"/>
              <w:divBdr>
                <w:top w:val="none" w:sz="0" w:space="0" w:color="auto"/>
                <w:left w:val="none" w:sz="0" w:space="0" w:color="auto"/>
                <w:bottom w:val="none" w:sz="0" w:space="0" w:color="auto"/>
                <w:right w:val="none" w:sz="0" w:space="0" w:color="auto"/>
              </w:divBdr>
            </w:div>
            <w:div w:id="773091947">
              <w:marLeft w:val="0"/>
              <w:marRight w:val="0"/>
              <w:marTop w:val="0"/>
              <w:marBottom w:val="0"/>
              <w:divBdr>
                <w:top w:val="none" w:sz="0" w:space="0" w:color="auto"/>
                <w:left w:val="none" w:sz="0" w:space="0" w:color="auto"/>
                <w:bottom w:val="none" w:sz="0" w:space="0" w:color="auto"/>
                <w:right w:val="none" w:sz="0" w:space="0" w:color="auto"/>
              </w:divBdr>
            </w:div>
          </w:divsChild>
        </w:div>
        <w:div w:id="447435445">
          <w:marLeft w:val="0"/>
          <w:marRight w:val="0"/>
          <w:marTop w:val="0"/>
          <w:marBottom w:val="0"/>
          <w:divBdr>
            <w:top w:val="none" w:sz="0" w:space="0" w:color="auto"/>
            <w:left w:val="none" w:sz="0" w:space="0" w:color="auto"/>
            <w:bottom w:val="none" w:sz="0" w:space="0" w:color="auto"/>
            <w:right w:val="none" w:sz="0" w:space="0" w:color="auto"/>
          </w:divBdr>
          <w:divsChild>
            <w:div w:id="1140877200">
              <w:marLeft w:val="0"/>
              <w:marRight w:val="0"/>
              <w:marTop w:val="0"/>
              <w:marBottom w:val="0"/>
              <w:divBdr>
                <w:top w:val="none" w:sz="0" w:space="0" w:color="auto"/>
                <w:left w:val="none" w:sz="0" w:space="0" w:color="auto"/>
                <w:bottom w:val="none" w:sz="0" w:space="0" w:color="auto"/>
                <w:right w:val="none" w:sz="0" w:space="0" w:color="auto"/>
              </w:divBdr>
            </w:div>
          </w:divsChild>
        </w:div>
        <w:div w:id="462385647">
          <w:marLeft w:val="0"/>
          <w:marRight w:val="0"/>
          <w:marTop w:val="0"/>
          <w:marBottom w:val="0"/>
          <w:divBdr>
            <w:top w:val="none" w:sz="0" w:space="0" w:color="auto"/>
            <w:left w:val="none" w:sz="0" w:space="0" w:color="auto"/>
            <w:bottom w:val="none" w:sz="0" w:space="0" w:color="auto"/>
            <w:right w:val="none" w:sz="0" w:space="0" w:color="auto"/>
          </w:divBdr>
          <w:divsChild>
            <w:div w:id="1820685207">
              <w:marLeft w:val="0"/>
              <w:marRight w:val="0"/>
              <w:marTop w:val="0"/>
              <w:marBottom w:val="0"/>
              <w:divBdr>
                <w:top w:val="none" w:sz="0" w:space="0" w:color="auto"/>
                <w:left w:val="none" w:sz="0" w:space="0" w:color="auto"/>
                <w:bottom w:val="none" w:sz="0" w:space="0" w:color="auto"/>
                <w:right w:val="none" w:sz="0" w:space="0" w:color="auto"/>
              </w:divBdr>
            </w:div>
          </w:divsChild>
        </w:div>
        <w:div w:id="558974602">
          <w:marLeft w:val="0"/>
          <w:marRight w:val="0"/>
          <w:marTop w:val="0"/>
          <w:marBottom w:val="0"/>
          <w:divBdr>
            <w:top w:val="none" w:sz="0" w:space="0" w:color="auto"/>
            <w:left w:val="none" w:sz="0" w:space="0" w:color="auto"/>
            <w:bottom w:val="none" w:sz="0" w:space="0" w:color="auto"/>
            <w:right w:val="none" w:sz="0" w:space="0" w:color="auto"/>
          </w:divBdr>
          <w:divsChild>
            <w:div w:id="324406570">
              <w:marLeft w:val="0"/>
              <w:marRight w:val="0"/>
              <w:marTop w:val="0"/>
              <w:marBottom w:val="0"/>
              <w:divBdr>
                <w:top w:val="none" w:sz="0" w:space="0" w:color="auto"/>
                <w:left w:val="none" w:sz="0" w:space="0" w:color="auto"/>
                <w:bottom w:val="none" w:sz="0" w:space="0" w:color="auto"/>
                <w:right w:val="none" w:sz="0" w:space="0" w:color="auto"/>
              </w:divBdr>
            </w:div>
          </w:divsChild>
        </w:div>
        <w:div w:id="696928769">
          <w:marLeft w:val="0"/>
          <w:marRight w:val="0"/>
          <w:marTop w:val="0"/>
          <w:marBottom w:val="0"/>
          <w:divBdr>
            <w:top w:val="none" w:sz="0" w:space="0" w:color="auto"/>
            <w:left w:val="none" w:sz="0" w:space="0" w:color="auto"/>
            <w:bottom w:val="none" w:sz="0" w:space="0" w:color="auto"/>
            <w:right w:val="none" w:sz="0" w:space="0" w:color="auto"/>
          </w:divBdr>
          <w:divsChild>
            <w:div w:id="808977436">
              <w:marLeft w:val="0"/>
              <w:marRight w:val="0"/>
              <w:marTop w:val="0"/>
              <w:marBottom w:val="0"/>
              <w:divBdr>
                <w:top w:val="none" w:sz="0" w:space="0" w:color="auto"/>
                <w:left w:val="none" w:sz="0" w:space="0" w:color="auto"/>
                <w:bottom w:val="none" w:sz="0" w:space="0" w:color="auto"/>
                <w:right w:val="none" w:sz="0" w:space="0" w:color="auto"/>
              </w:divBdr>
            </w:div>
          </w:divsChild>
        </w:div>
        <w:div w:id="862203390">
          <w:marLeft w:val="0"/>
          <w:marRight w:val="0"/>
          <w:marTop w:val="0"/>
          <w:marBottom w:val="0"/>
          <w:divBdr>
            <w:top w:val="none" w:sz="0" w:space="0" w:color="auto"/>
            <w:left w:val="none" w:sz="0" w:space="0" w:color="auto"/>
            <w:bottom w:val="none" w:sz="0" w:space="0" w:color="auto"/>
            <w:right w:val="none" w:sz="0" w:space="0" w:color="auto"/>
          </w:divBdr>
          <w:divsChild>
            <w:div w:id="1939867069">
              <w:marLeft w:val="0"/>
              <w:marRight w:val="0"/>
              <w:marTop w:val="0"/>
              <w:marBottom w:val="0"/>
              <w:divBdr>
                <w:top w:val="none" w:sz="0" w:space="0" w:color="auto"/>
                <w:left w:val="none" w:sz="0" w:space="0" w:color="auto"/>
                <w:bottom w:val="none" w:sz="0" w:space="0" w:color="auto"/>
                <w:right w:val="none" w:sz="0" w:space="0" w:color="auto"/>
              </w:divBdr>
            </w:div>
          </w:divsChild>
        </w:div>
        <w:div w:id="1008482576">
          <w:marLeft w:val="0"/>
          <w:marRight w:val="0"/>
          <w:marTop w:val="0"/>
          <w:marBottom w:val="0"/>
          <w:divBdr>
            <w:top w:val="none" w:sz="0" w:space="0" w:color="auto"/>
            <w:left w:val="none" w:sz="0" w:space="0" w:color="auto"/>
            <w:bottom w:val="none" w:sz="0" w:space="0" w:color="auto"/>
            <w:right w:val="none" w:sz="0" w:space="0" w:color="auto"/>
          </w:divBdr>
          <w:divsChild>
            <w:div w:id="767430568">
              <w:marLeft w:val="0"/>
              <w:marRight w:val="0"/>
              <w:marTop w:val="0"/>
              <w:marBottom w:val="0"/>
              <w:divBdr>
                <w:top w:val="none" w:sz="0" w:space="0" w:color="auto"/>
                <w:left w:val="none" w:sz="0" w:space="0" w:color="auto"/>
                <w:bottom w:val="none" w:sz="0" w:space="0" w:color="auto"/>
                <w:right w:val="none" w:sz="0" w:space="0" w:color="auto"/>
              </w:divBdr>
            </w:div>
          </w:divsChild>
        </w:div>
        <w:div w:id="1050809179">
          <w:marLeft w:val="0"/>
          <w:marRight w:val="0"/>
          <w:marTop w:val="0"/>
          <w:marBottom w:val="0"/>
          <w:divBdr>
            <w:top w:val="none" w:sz="0" w:space="0" w:color="auto"/>
            <w:left w:val="none" w:sz="0" w:space="0" w:color="auto"/>
            <w:bottom w:val="none" w:sz="0" w:space="0" w:color="auto"/>
            <w:right w:val="none" w:sz="0" w:space="0" w:color="auto"/>
          </w:divBdr>
          <w:divsChild>
            <w:div w:id="654575771">
              <w:marLeft w:val="0"/>
              <w:marRight w:val="0"/>
              <w:marTop w:val="0"/>
              <w:marBottom w:val="0"/>
              <w:divBdr>
                <w:top w:val="none" w:sz="0" w:space="0" w:color="auto"/>
                <w:left w:val="none" w:sz="0" w:space="0" w:color="auto"/>
                <w:bottom w:val="none" w:sz="0" w:space="0" w:color="auto"/>
                <w:right w:val="none" w:sz="0" w:space="0" w:color="auto"/>
              </w:divBdr>
            </w:div>
          </w:divsChild>
        </w:div>
        <w:div w:id="1079787919">
          <w:marLeft w:val="0"/>
          <w:marRight w:val="0"/>
          <w:marTop w:val="0"/>
          <w:marBottom w:val="0"/>
          <w:divBdr>
            <w:top w:val="none" w:sz="0" w:space="0" w:color="auto"/>
            <w:left w:val="none" w:sz="0" w:space="0" w:color="auto"/>
            <w:bottom w:val="none" w:sz="0" w:space="0" w:color="auto"/>
            <w:right w:val="none" w:sz="0" w:space="0" w:color="auto"/>
          </w:divBdr>
          <w:divsChild>
            <w:div w:id="621768944">
              <w:marLeft w:val="0"/>
              <w:marRight w:val="0"/>
              <w:marTop w:val="0"/>
              <w:marBottom w:val="0"/>
              <w:divBdr>
                <w:top w:val="none" w:sz="0" w:space="0" w:color="auto"/>
                <w:left w:val="none" w:sz="0" w:space="0" w:color="auto"/>
                <w:bottom w:val="none" w:sz="0" w:space="0" w:color="auto"/>
                <w:right w:val="none" w:sz="0" w:space="0" w:color="auto"/>
              </w:divBdr>
            </w:div>
            <w:div w:id="2083678947">
              <w:marLeft w:val="0"/>
              <w:marRight w:val="0"/>
              <w:marTop w:val="0"/>
              <w:marBottom w:val="0"/>
              <w:divBdr>
                <w:top w:val="none" w:sz="0" w:space="0" w:color="auto"/>
                <w:left w:val="none" w:sz="0" w:space="0" w:color="auto"/>
                <w:bottom w:val="none" w:sz="0" w:space="0" w:color="auto"/>
                <w:right w:val="none" w:sz="0" w:space="0" w:color="auto"/>
              </w:divBdr>
            </w:div>
          </w:divsChild>
        </w:div>
        <w:div w:id="1245728015">
          <w:marLeft w:val="0"/>
          <w:marRight w:val="0"/>
          <w:marTop w:val="0"/>
          <w:marBottom w:val="0"/>
          <w:divBdr>
            <w:top w:val="none" w:sz="0" w:space="0" w:color="auto"/>
            <w:left w:val="none" w:sz="0" w:space="0" w:color="auto"/>
            <w:bottom w:val="none" w:sz="0" w:space="0" w:color="auto"/>
            <w:right w:val="none" w:sz="0" w:space="0" w:color="auto"/>
          </w:divBdr>
          <w:divsChild>
            <w:div w:id="865874169">
              <w:marLeft w:val="0"/>
              <w:marRight w:val="0"/>
              <w:marTop w:val="0"/>
              <w:marBottom w:val="0"/>
              <w:divBdr>
                <w:top w:val="none" w:sz="0" w:space="0" w:color="auto"/>
                <w:left w:val="none" w:sz="0" w:space="0" w:color="auto"/>
                <w:bottom w:val="none" w:sz="0" w:space="0" w:color="auto"/>
                <w:right w:val="none" w:sz="0" w:space="0" w:color="auto"/>
              </w:divBdr>
            </w:div>
          </w:divsChild>
        </w:div>
        <w:div w:id="1444613531">
          <w:marLeft w:val="0"/>
          <w:marRight w:val="0"/>
          <w:marTop w:val="0"/>
          <w:marBottom w:val="0"/>
          <w:divBdr>
            <w:top w:val="none" w:sz="0" w:space="0" w:color="auto"/>
            <w:left w:val="none" w:sz="0" w:space="0" w:color="auto"/>
            <w:bottom w:val="none" w:sz="0" w:space="0" w:color="auto"/>
            <w:right w:val="none" w:sz="0" w:space="0" w:color="auto"/>
          </w:divBdr>
          <w:divsChild>
            <w:div w:id="1259948439">
              <w:marLeft w:val="0"/>
              <w:marRight w:val="0"/>
              <w:marTop w:val="0"/>
              <w:marBottom w:val="0"/>
              <w:divBdr>
                <w:top w:val="none" w:sz="0" w:space="0" w:color="auto"/>
                <w:left w:val="none" w:sz="0" w:space="0" w:color="auto"/>
                <w:bottom w:val="none" w:sz="0" w:space="0" w:color="auto"/>
                <w:right w:val="none" w:sz="0" w:space="0" w:color="auto"/>
              </w:divBdr>
            </w:div>
            <w:div w:id="1946570653">
              <w:marLeft w:val="0"/>
              <w:marRight w:val="0"/>
              <w:marTop w:val="0"/>
              <w:marBottom w:val="0"/>
              <w:divBdr>
                <w:top w:val="none" w:sz="0" w:space="0" w:color="auto"/>
                <w:left w:val="none" w:sz="0" w:space="0" w:color="auto"/>
                <w:bottom w:val="none" w:sz="0" w:space="0" w:color="auto"/>
                <w:right w:val="none" w:sz="0" w:space="0" w:color="auto"/>
              </w:divBdr>
            </w:div>
          </w:divsChild>
        </w:div>
        <w:div w:id="1454668468">
          <w:marLeft w:val="0"/>
          <w:marRight w:val="0"/>
          <w:marTop w:val="0"/>
          <w:marBottom w:val="0"/>
          <w:divBdr>
            <w:top w:val="none" w:sz="0" w:space="0" w:color="auto"/>
            <w:left w:val="none" w:sz="0" w:space="0" w:color="auto"/>
            <w:bottom w:val="none" w:sz="0" w:space="0" w:color="auto"/>
            <w:right w:val="none" w:sz="0" w:space="0" w:color="auto"/>
          </w:divBdr>
          <w:divsChild>
            <w:div w:id="378672378">
              <w:marLeft w:val="0"/>
              <w:marRight w:val="0"/>
              <w:marTop w:val="0"/>
              <w:marBottom w:val="0"/>
              <w:divBdr>
                <w:top w:val="none" w:sz="0" w:space="0" w:color="auto"/>
                <w:left w:val="none" w:sz="0" w:space="0" w:color="auto"/>
                <w:bottom w:val="none" w:sz="0" w:space="0" w:color="auto"/>
                <w:right w:val="none" w:sz="0" w:space="0" w:color="auto"/>
              </w:divBdr>
            </w:div>
          </w:divsChild>
        </w:div>
        <w:div w:id="1571765512">
          <w:marLeft w:val="0"/>
          <w:marRight w:val="0"/>
          <w:marTop w:val="0"/>
          <w:marBottom w:val="0"/>
          <w:divBdr>
            <w:top w:val="none" w:sz="0" w:space="0" w:color="auto"/>
            <w:left w:val="none" w:sz="0" w:space="0" w:color="auto"/>
            <w:bottom w:val="none" w:sz="0" w:space="0" w:color="auto"/>
            <w:right w:val="none" w:sz="0" w:space="0" w:color="auto"/>
          </w:divBdr>
          <w:divsChild>
            <w:div w:id="2120104066">
              <w:marLeft w:val="0"/>
              <w:marRight w:val="0"/>
              <w:marTop w:val="0"/>
              <w:marBottom w:val="0"/>
              <w:divBdr>
                <w:top w:val="none" w:sz="0" w:space="0" w:color="auto"/>
                <w:left w:val="none" w:sz="0" w:space="0" w:color="auto"/>
                <w:bottom w:val="none" w:sz="0" w:space="0" w:color="auto"/>
                <w:right w:val="none" w:sz="0" w:space="0" w:color="auto"/>
              </w:divBdr>
            </w:div>
          </w:divsChild>
        </w:div>
        <w:div w:id="1701006669">
          <w:marLeft w:val="0"/>
          <w:marRight w:val="0"/>
          <w:marTop w:val="0"/>
          <w:marBottom w:val="0"/>
          <w:divBdr>
            <w:top w:val="none" w:sz="0" w:space="0" w:color="auto"/>
            <w:left w:val="none" w:sz="0" w:space="0" w:color="auto"/>
            <w:bottom w:val="none" w:sz="0" w:space="0" w:color="auto"/>
            <w:right w:val="none" w:sz="0" w:space="0" w:color="auto"/>
          </w:divBdr>
          <w:divsChild>
            <w:div w:id="692341698">
              <w:marLeft w:val="0"/>
              <w:marRight w:val="0"/>
              <w:marTop w:val="0"/>
              <w:marBottom w:val="0"/>
              <w:divBdr>
                <w:top w:val="none" w:sz="0" w:space="0" w:color="auto"/>
                <w:left w:val="none" w:sz="0" w:space="0" w:color="auto"/>
                <w:bottom w:val="none" w:sz="0" w:space="0" w:color="auto"/>
                <w:right w:val="none" w:sz="0" w:space="0" w:color="auto"/>
              </w:divBdr>
            </w:div>
          </w:divsChild>
        </w:div>
        <w:div w:id="1823351677">
          <w:marLeft w:val="0"/>
          <w:marRight w:val="0"/>
          <w:marTop w:val="0"/>
          <w:marBottom w:val="0"/>
          <w:divBdr>
            <w:top w:val="none" w:sz="0" w:space="0" w:color="auto"/>
            <w:left w:val="none" w:sz="0" w:space="0" w:color="auto"/>
            <w:bottom w:val="none" w:sz="0" w:space="0" w:color="auto"/>
            <w:right w:val="none" w:sz="0" w:space="0" w:color="auto"/>
          </w:divBdr>
          <w:divsChild>
            <w:div w:id="352341691">
              <w:marLeft w:val="0"/>
              <w:marRight w:val="0"/>
              <w:marTop w:val="0"/>
              <w:marBottom w:val="0"/>
              <w:divBdr>
                <w:top w:val="none" w:sz="0" w:space="0" w:color="auto"/>
                <w:left w:val="none" w:sz="0" w:space="0" w:color="auto"/>
                <w:bottom w:val="none" w:sz="0" w:space="0" w:color="auto"/>
                <w:right w:val="none" w:sz="0" w:space="0" w:color="auto"/>
              </w:divBdr>
            </w:div>
          </w:divsChild>
        </w:div>
        <w:div w:id="1827241147">
          <w:marLeft w:val="0"/>
          <w:marRight w:val="0"/>
          <w:marTop w:val="0"/>
          <w:marBottom w:val="0"/>
          <w:divBdr>
            <w:top w:val="none" w:sz="0" w:space="0" w:color="auto"/>
            <w:left w:val="none" w:sz="0" w:space="0" w:color="auto"/>
            <w:bottom w:val="none" w:sz="0" w:space="0" w:color="auto"/>
            <w:right w:val="none" w:sz="0" w:space="0" w:color="auto"/>
          </w:divBdr>
          <w:divsChild>
            <w:div w:id="1524517292">
              <w:marLeft w:val="0"/>
              <w:marRight w:val="0"/>
              <w:marTop w:val="0"/>
              <w:marBottom w:val="0"/>
              <w:divBdr>
                <w:top w:val="none" w:sz="0" w:space="0" w:color="auto"/>
                <w:left w:val="none" w:sz="0" w:space="0" w:color="auto"/>
                <w:bottom w:val="none" w:sz="0" w:space="0" w:color="auto"/>
                <w:right w:val="none" w:sz="0" w:space="0" w:color="auto"/>
              </w:divBdr>
            </w:div>
          </w:divsChild>
        </w:div>
        <w:div w:id="1956013323">
          <w:marLeft w:val="0"/>
          <w:marRight w:val="0"/>
          <w:marTop w:val="0"/>
          <w:marBottom w:val="0"/>
          <w:divBdr>
            <w:top w:val="none" w:sz="0" w:space="0" w:color="auto"/>
            <w:left w:val="none" w:sz="0" w:space="0" w:color="auto"/>
            <w:bottom w:val="none" w:sz="0" w:space="0" w:color="auto"/>
            <w:right w:val="none" w:sz="0" w:space="0" w:color="auto"/>
          </w:divBdr>
          <w:divsChild>
            <w:div w:id="68354912">
              <w:marLeft w:val="0"/>
              <w:marRight w:val="0"/>
              <w:marTop w:val="0"/>
              <w:marBottom w:val="0"/>
              <w:divBdr>
                <w:top w:val="none" w:sz="0" w:space="0" w:color="auto"/>
                <w:left w:val="none" w:sz="0" w:space="0" w:color="auto"/>
                <w:bottom w:val="none" w:sz="0" w:space="0" w:color="auto"/>
                <w:right w:val="none" w:sz="0" w:space="0" w:color="auto"/>
              </w:divBdr>
            </w:div>
            <w:div w:id="1242103831">
              <w:marLeft w:val="0"/>
              <w:marRight w:val="0"/>
              <w:marTop w:val="0"/>
              <w:marBottom w:val="0"/>
              <w:divBdr>
                <w:top w:val="none" w:sz="0" w:space="0" w:color="auto"/>
                <w:left w:val="none" w:sz="0" w:space="0" w:color="auto"/>
                <w:bottom w:val="none" w:sz="0" w:space="0" w:color="auto"/>
                <w:right w:val="none" w:sz="0" w:space="0" w:color="auto"/>
              </w:divBdr>
            </w:div>
          </w:divsChild>
        </w:div>
        <w:div w:id="2046907276">
          <w:marLeft w:val="0"/>
          <w:marRight w:val="0"/>
          <w:marTop w:val="0"/>
          <w:marBottom w:val="0"/>
          <w:divBdr>
            <w:top w:val="none" w:sz="0" w:space="0" w:color="auto"/>
            <w:left w:val="none" w:sz="0" w:space="0" w:color="auto"/>
            <w:bottom w:val="none" w:sz="0" w:space="0" w:color="auto"/>
            <w:right w:val="none" w:sz="0" w:space="0" w:color="auto"/>
          </w:divBdr>
          <w:divsChild>
            <w:div w:id="2028214927">
              <w:marLeft w:val="0"/>
              <w:marRight w:val="0"/>
              <w:marTop w:val="0"/>
              <w:marBottom w:val="0"/>
              <w:divBdr>
                <w:top w:val="none" w:sz="0" w:space="0" w:color="auto"/>
                <w:left w:val="none" w:sz="0" w:space="0" w:color="auto"/>
                <w:bottom w:val="none" w:sz="0" w:space="0" w:color="auto"/>
                <w:right w:val="none" w:sz="0" w:space="0" w:color="auto"/>
              </w:divBdr>
            </w:div>
          </w:divsChild>
        </w:div>
        <w:div w:id="2112388429">
          <w:marLeft w:val="0"/>
          <w:marRight w:val="0"/>
          <w:marTop w:val="0"/>
          <w:marBottom w:val="0"/>
          <w:divBdr>
            <w:top w:val="none" w:sz="0" w:space="0" w:color="auto"/>
            <w:left w:val="none" w:sz="0" w:space="0" w:color="auto"/>
            <w:bottom w:val="none" w:sz="0" w:space="0" w:color="auto"/>
            <w:right w:val="none" w:sz="0" w:space="0" w:color="auto"/>
          </w:divBdr>
          <w:divsChild>
            <w:div w:id="1726835843">
              <w:marLeft w:val="0"/>
              <w:marRight w:val="0"/>
              <w:marTop w:val="0"/>
              <w:marBottom w:val="0"/>
              <w:divBdr>
                <w:top w:val="none" w:sz="0" w:space="0" w:color="auto"/>
                <w:left w:val="none" w:sz="0" w:space="0" w:color="auto"/>
                <w:bottom w:val="none" w:sz="0" w:space="0" w:color="auto"/>
                <w:right w:val="none" w:sz="0" w:space="0" w:color="auto"/>
              </w:divBdr>
            </w:div>
          </w:divsChild>
        </w:div>
        <w:div w:id="2121297340">
          <w:marLeft w:val="0"/>
          <w:marRight w:val="0"/>
          <w:marTop w:val="0"/>
          <w:marBottom w:val="0"/>
          <w:divBdr>
            <w:top w:val="none" w:sz="0" w:space="0" w:color="auto"/>
            <w:left w:val="none" w:sz="0" w:space="0" w:color="auto"/>
            <w:bottom w:val="none" w:sz="0" w:space="0" w:color="auto"/>
            <w:right w:val="none" w:sz="0" w:space="0" w:color="auto"/>
          </w:divBdr>
          <w:divsChild>
            <w:div w:id="1251156110">
              <w:marLeft w:val="0"/>
              <w:marRight w:val="0"/>
              <w:marTop w:val="0"/>
              <w:marBottom w:val="0"/>
              <w:divBdr>
                <w:top w:val="none" w:sz="0" w:space="0" w:color="auto"/>
                <w:left w:val="none" w:sz="0" w:space="0" w:color="auto"/>
                <w:bottom w:val="none" w:sz="0" w:space="0" w:color="auto"/>
                <w:right w:val="none" w:sz="0" w:space="0" w:color="auto"/>
              </w:divBdr>
            </w:div>
            <w:div w:id="20738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069291">
      <w:bodyDiv w:val="1"/>
      <w:marLeft w:val="0"/>
      <w:marRight w:val="0"/>
      <w:marTop w:val="0"/>
      <w:marBottom w:val="0"/>
      <w:divBdr>
        <w:top w:val="none" w:sz="0" w:space="0" w:color="auto"/>
        <w:left w:val="none" w:sz="0" w:space="0" w:color="auto"/>
        <w:bottom w:val="none" w:sz="0" w:space="0" w:color="auto"/>
        <w:right w:val="none" w:sz="0" w:space="0" w:color="auto"/>
      </w:divBdr>
    </w:div>
    <w:div w:id="1744647408">
      <w:bodyDiv w:val="1"/>
      <w:marLeft w:val="0"/>
      <w:marRight w:val="0"/>
      <w:marTop w:val="0"/>
      <w:marBottom w:val="0"/>
      <w:divBdr>
        <w:top w:val="none" w:sz="0" w:space="0" w:color="auto"/>
        <w:left w:val="none" w:sz="0" w:space="0" w:color="auto"/>
        <w:bottom w:val="none" w:sz="0" w:space="0" w:color="auto"/>
        <w:right w:val="none" w:sz="0" w:space="0" w:color="auto"/>
      </w:divBdr>
    </w:div>
    <w:div w:id="1746219955">
      <w:bodyDiv w:val="1"/>
      <w:marLeft w:val="0"/>
      <w:marRight w:val="0"/>
      <w:marTop w:val="0"/>
      <w:marBottom w:val="0"/>
      <w:divBdr>
        <w:top w:val="none" w:sz="0" w:space="0" w:color="auto"/>
        <w:left w:val="none" w:sz="0" w:space="0" w:color="auto"/>
        <w:bottom w:val="none" w:sz="0" w:space="0" w:color="auto"/>
        <w:right w:val="none" w:sz="0" w:space="0" w:color="auto"/>
      </w:divBdr>
      <w:divsChild>
        <w:div w:id="1518233947">
          <w:marLeft w:val="0"/>
          <w:marRight w:val="0"/>
          <w:marTop w:val="0"/>
          <w:marBottom w:val="0"/>
          <w:divBdr>
            <w:top w:val="none" w:sz="0" w:space="0" w:color="auto"/>
            <w:left w:val="none" w:sz="0" w:space="0" w:color="auto"/>
            <w:bottom w:val="none" w:sz="0" w:space="0" w:color="auto"/>
            <w:right w:val="none" w:sz="0" w:space="0" w:color="auto"/>
          </w:divBdr>
        </w:div>
        <w:div w:id="1683242721">
          <w:marLeft w:val="0"/>
          <w:marRight w:val="0"/>
          <w:marTop w:val="0"/>
          <w:marBottom w:val="0"/>
          <w:divBdr>
            <w:top w:val="none" w:sz="0" w:space="0" w:color="auto"/>
            <w:left w:val="none" w:sz="0" w:space="0" w:color="auto"/>
            <w:bottom w:val="none" w:sz="0" w:space="0" w:color="auto"/>
            <w:right w:val="none" w:sz="0" w:space="0" w:color="auto"/>
          </w:divBdr>
        </w:div>
      </w:divsChild>
    </w:div>
    <w:div w:id="1784227249">
      <w:bodyDiv w:val="1"/>
      <w:marLeft w:val="0"/>
      <w:marRight w:val="0"/>
      <w:marTop w:val="0"/>
      <w:marBottom w:val="0"/>
      <w:divBdr>
        <w:top w:val="none" w:sz="0" w:space="0" w:color="auto"/>
        <w:left w:val="none" w:sz="0" w:space="0" w:color="auto"/>
        <w:bottom w:val="none" w:sz="0" w:space="0" w:color="auto"/>
        <w:right w:val="none" w:sz="0" w:space="0" w:color="auto"/>
      </w:divBdr>
      <w:divsChild>
        <w:div w:id="35009736">
          <w:marLeft w:val="0"/>
          <w:marRight w:val="0"/>
          <w:marTop w:val="0"/>
          <w:marBottom w:val="0"/>
          <w:divBdr>
            <w:top w:val="none" w:sz="0" w:space="0" w:color="auto"/>
            <w:left w:val="none" w:sz="0" w:space="0" w:color="auto"/>
            <w:bottom w:val="none" w:sz="0" w:space="0" w:color="auto"/>
            <w:right w:val="none" w:sz="0" w:space="0" w:color="auto"/>
          </w:divBdr>
        </w:div>
        <w:div w:id="478498200">
          <w:marLeft w:val="0"/>
          <w:marRight w:val="0"/>
          <w:marTop w:val="0"/>
          <w:marBottom w:val="0"/>
          <w:divBdr>
            <w:top w:val="none" w:sz="0" w:space="0" w:color="auto"/>
            <w:left w:val="none" w:sz="0" w:space="0" w:color="auto"/>
            <w:bottom w:val="none" w:sz="0" w:space="0" w:color="auto"/>
            <w:right w:val="none" w:sz="0" w:space="0" w:color="auto"/>
          </w:divBdr>
        </w:div>
        <w:div w:id="889149335">
          <w:marLeft w:val="0"/>
          <w:marRight w:val="0"/>
          <w:marTop w:val="0"/>
          <w:marBottom w:val="0"/>
          <w:divBdr>
            <w:top w:val="none" w:sz="0" w:space="0" w:color="auto"/>
            <w:left w:val="none" w:sz="0" w:space="0" w:color="auto"/>
            <w:bottom w:val="none" w:sz="0" w:space="0" w:color="auto"/>
            <w:right w:val="none" w:sz="0" w:space="0" w:color="auto"/>
          </w:divBdr>
        </w:div>
        <w:div w:id="934246392">
          <w:marLeft w:val="0"/>
          <w:marRight w:val="0"/>
          <w:marTop w:val="0"/>
          <w:marBottom w:val="0"/>
          <w:divBdr>
            <w:top w:val="none" w:sz="0" w:space="0" w:color="auto"/>
            <w:left w:val="none" w:sz="0" w:space="0" w:color="auto"/>
            <w:bottom w:val="none" w:sz="0" w:space="0" w:color="auto"/>
            <w:right w:val="none" w:sz="0" w:space="0" w:color="auto"/>
          </w:divBdr>
        </w:div>
        <w:div w:id="1289433086">
          <w:marLeft w:val="0"/>
          <w:marRight w:val="0"/>
          <w:marTop w:val="0"/>
          <w:marBottom w:val="0"/>
          <w:divBdr>
            <w:top w:val="none" w:sz="0" w:space="0" w:color="auto"/>
            <w:left w:val="none" w:sz="0" w:space="0" w:color="auto"/>
            <w:bottom w:val="none" w:sz="0" w:space="0" w:color="auto"/>
            <w:right w:val="none" w:sz="0" w:space="0" w:color="auto"/>
          </w:divBdr>
        </w:div>
        <w:div w:id="1751657546">
          <w:marLeft w:val="0"/>
          <w:marRight w:val="0"/>
          <w:marTop w:val="0"/>
          <w:marBottom w:val="0"/>
          <w:divBdr>
            <w:top w:val="none" w:sz="0" w:space="0" w:color="auto"/>
            <w:left w:val="none" w:sz="0" w:space="0" w:color="auto"/>
            <w:bottom w:val="none" w:sz="0" w:space="0" w:color="auto"/>
            <w:right w:val="none" w:sz="0" w:space="0" w:color="auto"/>
          </w:divBdr>
        </w:div>
        <w:div w:id="1981376345">
          <w:marLeft w:val="0"/>
          <w:marRight w:val="0"/>
          <w:marTop w:val="0"/>
          <w:marBottom w:val="0"/>
          <w:divBdr>
            <w:top w:val="none" w:sz="0" w:space="0" w:color="auto"/>
            <w:left w:val="none" w:sz="0" w:space="0" w:color="auto"/>
            <w:bottom w:val="none" w:sz="0" w:space="0" w:color="auto"/>
            <w:right w:val="none" w:sz="0" w:space="0" w:color="auto"/>
          </w:divBdr>
        </w:div>
      </w:divsChild>
    </w:div>
    <w:div w:id="1786075588">
      <w:bodyDiv w:val="1"/>
      <w:marLeft w:val="0"/>
      <w:marRight w:val="0"/>
      <w:marTop w:val="0"/>
      <w:marBottom w:val="0"/>
      <w:divBdr>
        <w:top w:val="none" w:sz="0" w:space="0" w:color="auto"/>
        <w:left w:val="none" w:sz="0" w:space="0" w:color="auto"/>
        <w:bottom w:val="none" w:sz="0" w:space="0" w:color="auto"/>
        <w:right w:val="none" w:sz="0" w:space="0" w:color="auto"/>
      </w:divBdr>
    </w:div>
    <w:div w:id="1812743986">
      <w:bodyDiv w:val="1"/>
      <w:marLeft w:val="0"/>
      <w:marRight w:val="0"/>
      <w:marTop w:val="0"/>
      <w:marBottom w:val="0"/>
      <w:divBdr>
        <w:top w:val="none" w:sz="0" w:space="0" w:color="auto"/>
        <w:left w:val="none" w:sz="0" w:space="0" w:color="auto"/>
        <w:bottom w:val="none" w:sz="0" w:space="0" w:color="auto"/>
        <w:right w:val="none" w:sz="0" w:space="0" w:color="auto"/>
      </w:divBdr>
    </w:div>
    <w:div w:id="1821578485">
      <w:bodyDiv w:val="1"/>
      <w:marLeft w:val="0"/>
      <w:marRight w:val="0"/>
      <w:marTop w:val="0"/>
      <w:marBottom w:val="0"/>
      <w:divBdr>
        <w:top w:val="none" w:sz="0" w:space="0" w:color="auto"/>
        <w:left w:val="none" w:sz="0" w:space="0" w:color="auto"/>
        <w:bottom w:val="none" w:sz="0" w:space="0" w:color="auto"/>
        <w:right w:val="none" w:sz="0" w:space="0" w:color="auto"/>
      </w:divBdr>
    </w:div>
    <w:div w:id="1826358608">
      <w:bodyDiv w:val="1"/>
      <w:marLeft w:val="0"/>
      <w:marRight w:val="0"/>
      <w:marTop w:val="0"/>
      <w:marBottom w:val="0"/>
      <w:divBdr>
        <w:top w:val="none" w:sz="0" w:space="0" w:color="auto"/>
        <w:left w:val="none" w:sz="0" w:space="0" w:color="auto"/>
        <w:bottom w:val="none" w:sz="0" w:space="0" w:color="auto"/>
        <w:right w:val="none" w:sz="0" w:space="0" w:color="auto"/>
      </w:divBdr>
    </w:div>
    <w:div w:id="1844126531">
      <w:bodyDiv w:val="1"/>
      <w:marLeft w:val="0"/>
      <w:marRight w:val="0"/>
      <w:marTop w:val="0"/>
      <w:marBottom w:val="0"/>
      <w:divBdr>
        <w:top w:val="none" w:sz="0" w:space="0" w:color="auto"/>
        <w:left w:val="none" w:sz="0" w:space="0" w:color="auto"/>
        <w:bottom w:val="none" w:sz="0" w:space="0" w:color="auto"/>
        <w:right w:val="none" w:sz="0" w:space="0" w:color="auto"/>
      </w:divBdr>
      <w:divsChild>
        <w:div w:id="1021594145">
          <w:marLeft w:val="0"/>
          <w:marRight w:val="0"/>
          <w:marTop w:val="0"/>
          <w:marBottom w:val="0"/>
          <w:divBdr>
            <w:top w:val="none" w:sz="0" w:space="0" w:color="auto"/>
            <w:left w:val="none" w:sz="0" w:space="0" w:color="auto"/>
            <w:bottom w:val="none" w:sz="0" w:space="0" w:color="auto"/>
            <w:right w:val="none" w:sz="0" w:space="0" w:color="auto"/>
          </w:divBdr>
        </w:div>
        <w:div w:id="1915823245">
          <w:marLeft w:val="0"/>
          <w:marRight w:val="0"/>
          <w:marTop w:val="0"/>
          <w:marBottom w:val="0"/>
          <w:divBdr>
            <w:top w:val="none" w:sz="0" w:space="0" w:color="auto"/>
            <w:left w:val="none" w:sz="0" w:space="0" w:color="auto"/>
            <w:bottom w:val="none" w:sz="0" w:space="0" w:color="auto"/>
            <w:right w:val="none" w:sz="0" w:space="0" w:color="auto"/>
          </w:divBdr>
        </w:div>
      </w:divsChild>
    </w:div>
    <w:div w:id="1867407885">
      <w:bodyDiv w:val="1"/>
      <w:marLeft w:val="0"/>
      <w:marRight w:val="0"/>
      <w:marTop w:val="0"/>
      <w:marBottom w:val="0"/>
      <w:divBdr>
        <w:top w:val="none" w:sz="0" w:space="0" w:color="auto"/>
        <w:left w:val="none" w:sz="0" w:space="0" w:color="auto"/>
        <w:bottom w:val="none" w:sz="0" w:space="0" w:color="auto"/>
        <w:right w:val="none" w:sz="0" w:space="0" w:color="auto"/>
      </w:divBdr>
    </w:div>
    <w:div w:id="1877693364">
      <w:bodyDiv w:val="1"/>
      <w:marLeft w:val="0"/>
      <w:marRight w:val="0"/>
      <w:marTop w:val="0"/>
      <w:marBottom w:val="0"/>
      <w:divBdr>
        <w:top w:val="none" w:sz="0" w:space="0" w:color="auto"/>
        <w:left w:val="none" w:sz="0" w:space="0" w:color="auto"/>
        <w:bottom w:val="none" w:sz="0" w:space="0" w:color="auto"/>
        <w:right w:val="none" w:sz="0" w:space="0" w:color="auto"/>
      </w:divBdr>
    </w:div>
    <w:div w:id="1877767268">
      <w:bodyDiv w:val="1"/>
      <w:marLeft w:val="0"/>
      <w:marRight w:val="0"/>
      <w:marTop w:val="0"/>
      <w:marBottom w:val="0"/>
      <w:divBdr>
        <w:top w:val="none" w:sz="0" w:space="0" w:color="auto"/>
        <w:left w:val="none" w:sz="0" w:space="0" w:color="auto"/>
        <w:bottom w:val="none" w:sz="0" w:space="0" w:color="auto"/>
        <w:right w:val="none" w:sz="0" w:space="0" w:color="auto"/>
      </w:divBdr>
    </w:div>
    <w:div w:id="1879586376">
      <w:bodyDiv w:val="1"/>
      <w:marLeft w:val="0"/>
      <w:marRight w:val="0"/>
      <w:marTop w:val="0"/>
      <w:marBottom w:val="0"/>
      <w:divBdr>
        <w:top w:val="none" w:sz="0" w:space="0" w:color="auto"/>
        <w:left w:val="none" w:sz="0" w:space="0" w:color="auto"/>
        <w:bottom w:val="none" w:sz="0" w:space="0" w:color="auto"/>
        <w:right w:val="none" w:sz="0" w:space="0" w:color="auto"/>
      </w:divBdr>
    </w:div>
    <w:div w:id="1916469491">
      <w:bodyDiv w:val="1"/>
      <w:marLeft w:val="0"/>
      <w:marRight w:val="0"/>
      <w:marTop w:val="0"/>
      <w:marBottom w:val="0"/>
      <w:divBdr>
        <w:top w:val="none" w:sz="0" w:space="0" w:color="auto"/>
        <w:left w:val="none" w:sz="0" w:space="0" w:color="auto"/>
        <w:bottom w:val="none" w:sz="0" w:space="0" w:color="auto"/>
        <w:right w:val="none" w:sz="0" w:space="0" w:color="auto"/>
      </w:divBdr>
      <w:divsChild>
        <w:div w:id="171458943">
          <w:marLeft w:val="0"/>
          <w:marRight w:val="0"/>
          <w:marTop w:val="0"/>
          <w:marBottom w:val="0"/>
          <w:divBdr>
            <w:top w:val="none" w:sz="0" w:space="0" w:color="auto"/>
            <w:left w:val="none" w:sz="0" w:space="0" w:color="auto"/>
            <w:bottom w:val="none" w:sz="0" w:space="0" w:color="auto"/>
            <w:right w:val="none" w:sz="0" w:space="0" w:color="auto"/>
          </w:divBdr>
        </w:div>
        <w:div w:id="868299348">
          <w:marLeft w:val="0"/>
          <w:marRight w:val="0"/>
          <w:marTop w:val="0"/>
          <w:marBottom w:val="0"/>
          <w:divBdr>
            <w:top w:val="none" w:sz="0" w:space="0" w:color="auto"/>
            <w:left w:val="none" w:sz="0" w:space="0" w:color="auto"/>
            <w:bottom w:val="none" w:sz="0" w:space="0" w:color="auto"/>
            <w:right w:val="none" w:sz="0" w:space="0" w:color="auto"/>
          </w:divBdr>
        </w:div>
        <w:div w:id="1184783966">
          <w:marLeft w:val="0"/>
          <w:marRight w:val="0"/>
          <w:marTop w:val="0"/>
          <w:marBottom w:val="0"/>
          <w:divBdr>
            <w:top w:val="none" w:sz="0" w:space="0" w:color="auto"/>
            <w:left w:val="none" w:sz="0" w:space="0" w:color="auto"/>
            <w:bottom w:val="none" w:sz="0" w:space="0" w:color="auto"/>
            <w:right w:val="none" w:sz="0" w:space="0" w:color="auto"/>
          </w:divBdr>
        </w:div>
      </w:divsChild>
    </w:div>
    <w:div w:id="1920093107">
      <w:bodyDiv w:val="1"/>
      <w:marLeft w:val="0"/>
      <w:marRight w:val="0"/>
      <w:marTop w:val="0"/>
      <w:marBottom w:val="0"/>
      <w:divBdr>
        <w:top w:val="none" w:sz="0" w:space="0" w:color="auto"/>
        <w:left w:val="none" w:sz="0" w:space="0" w:color="auto"/>
        <w:bottom w:val="none" w:sz="0" w:space="0" w:color="auto"/>
        <w:right w:val="none" w:sz="0" w:space="0" w:color="auto"/>
      </w:divBdr>
    </w:div>
    <w:div w:id="1922637389">
      <w:bodyDiv w:val="1"/>
      <w:marLeft w:val="0"/>
      <w:marRight w:val="0"/>
      <w:marTop w:val="0"/>
      <w:marBottom w:val="0"/>
      <w:divBdr>
        <w:top w:val="none" w:sz="0" w:space="0" w:color="auto"/>
        <w:left w:val="none" w:sz="0" w:space="0" w:color="auto"/>
        <w:bottom w:val="none" w:sz="0" w:space="0" w:color="auto"/>
        <w:right w:val="none" w:sz="0" w:space="0" w:color="auto"/>
      </w:divBdr>
    </w:div>
    <w:div w:id="1931891943">
      <w:bodyDiv w:val="1"/>
      <w:marLeft w:val="0"/>
      <w:marRight w:val="0"/>
      <w:marTop w:val="0"/>
      <w:marBottom w:val="0"/>
      <w:divBdr>
        <w:top w:val="none" w:sz="0" w:space="0" w:color="auto"/>
        <w:left w:val="none" w:sz="0" w:space="0" w:color="auto"/>
        <w:bottom w:val="none" w:sz="0" w:space="0" w:color="auto"/>
        <w:right w:val="none" w:sz="0" w:space="0" w:color="auto"/>
      </w:divBdr>
    </w:div>
    <w:div w:id="1968508257">
      <w:bodyDiv w:val="1"/>
      <w:marLeft w:val="0"/>
      <w:marRight w:val="0"/>
      <w:marTop w:val="0"/>
      <w:marBottom w:val="0"/>
      <w:divBdr>
        <w:top w:val="none" w:sz="0" w:space="0" w:color="auto"/>
        <w:left w:val="none" w:sz="0" w:space="0" w:color="auto"/>
        <w:bottom w:val="none" w:sz="0" w:space="0" w:color="auto"/>
        <w:right w:val="none" w:sz="0" w:space="0" w:color="auto"/>
      </w:divBdr>
    </w:div>
    <w:div w:id="1969162763">
      <w:bodyDiv w:val="1"/>
      <w:marLeft w:val="0"/>
      <w:marRight w:val="0"/>
      <w:marTop w:val="0"/>
      <w:marBottom w:val="0"/>
      <w:divBdr>
        <w:top w:val="none" w:sz="0" w:space="0" w:color="auto"/>
        <w:left w:val="none" w:sz="0" w:space="0" w:color="auto"/>
        <w:bottom w:val="none" w:sz="0" w:space="0" w:color="auto"/>
        <w:right w:val="none" w:sz="0" w:space="0" w:color="auto"/>
      </w:divBdr>
    </w:div>
    <w:div w:id="1971787046">
      <w:bodyDiv w:val="1"/>
      <w:marLeft w:val="0"/>
      <w:marRight w:val="0"/>
      <w:marTop w:val="0"/>
      <w:marBottom w:val="0"/>
      <w:divBdr>
        <w:top w:val="none" w:sz="0" w:space="0" w:color="auto"/>
        <w:left w:val="none" w:sz="0" w:space="0" w:color="auto"/>
        <w:bottom w:val="none" w:sz="0" w:space="0" w:color="auto"/>
        <w:right w:val="none" w:sz="0" w:space="0" w:color="auto"/>
      </w:divBdr>
    </w:div>
    <w:div w:id="1983584383">
      <w:bodyDiv w:val="1"/>
      <w:marLeft w:val="0"/>
      <w:marRight w:val="0"/>
      <w:marTop w:val="0"/>
      <w:marBottom w:val="0"/>
      <w:divBdr>
        <w:top w:val="none" w:sz="0" w:space="0" w:color="auto"/>
        <w:left w:val="none" w:sz="0" w:space="0" w:color="auto"/>
        <w:bottom w:val="none" w:sz="0" w:space="0" w:color="auto"/>
        <w:right w:val="none" w:sz="0" w:space="0" w:color="auto"/>
      </w:divBdr>
    </w:div>
    <w:div w:id="1993489195">
      <w:bodyDiv w:val="1"/>
      <w:marLeft w:val="0"/>
      <w:marRight w:val="0"/>
      <w:marTop w:val="0"/>
      <w:marBottom w:val="0"/>
      <w:divBdr>
        <w:top w:val="none" w:sz="0" w:space="0" w:color="auto"/>
        <w:left w:val="none" w:sz="0" w:space="0" w:color="auto"/>
        <w:bottom w:val="none" w:sz="0" w:space="0" w:color="auto"/>
        <w:right w:val="none" w:sz="0" w:space="0" w:color="auto"/>
      </w:divBdr>
      <w:divsChild>
        <w:div w:id="770199477">
          <w:marLeft w:val="0"/>
          <w:marRight w:val="0"/>
          <w:marTop w:val="0"/>
          <w:marBottom w:val="0"/>
          <w:divBdr>
            <w:top w:val="none" w:sz="0" w:space="0" w:color="auto"/>
            <w:left w:val="none" w:sz="0" w:space="0" w:color="auto"/>
            <w:bottom w:val="none" w:sz="0" w:space="0" w:color="auto"/>
            <w:right w:val="none" w:sz="0" w:space="0" w:color="auto"/>
          </w:divBdr>
        </w:div>
        <w:div w:id="1919560079">
          <w:marLeft w:val="0"/>
          <w:marRight w:val="0"/>
          <w:marTop w:val="0"/>
          <w:marBottom w:val="0"/>
          <w:divBdr>
            <w:top w:val="none" w:sz="0" w:space="0" w:color="auto"/>
            <w:left w:val="none" w:sz="0" w:space="0" w:color="auto"/>
            <w:bottom w:val="none" w:sz="0" w:space="0" w:color="auto"/>
            <w:right w:val="none" w:sz="0" w:space="0" w:color="auto"/>
          </w:divBdr>
        </w:div>
        <w:div w:id="2066685490">
          <w:marLeft w:val="0"/>
          <w:marRight w:val="0"/>
          <w:marTop w:val="0"/>
          <w:marBottom w:val="0"/>
          <w:divBdr>
            <w:top w:val="none" w:sz="0" w:space="0" w:color="auto"/>
            <w:left w:val="none" w:sz="0" w:space="0" w:color="auto"/>
            <w:bottom w:val="none" w:sz="0" w:space="0" w:color="auto"/>
            <w:right w:val="none" w:sz="0" w:space="0" w:color="auto"/>
          </w:divBdr>
        </w:div>
      </w:divsChild>
    </w:div>
    <w:div w:id="1998223233">
      <w:bodyDiv w:val="1"/>
      <w:marLeft w:val="0"/>
      <w:marRight w:val="0"/>
      <w:marTop w:val="0"/>
      <w:marBottom w:val="0"/>
      <w:divBdr>
        <w:top w:val="none" w:sz="0" w:space="0" w:color="auto"/>
        <w:left w:val="none" w:sz="0" w:space="0" w:color="auto"/>
        <w:bottom w:val="none" w:sz="0" w:space="0" w:color="auto"/>
        <w:right w:val="none" w:sz="0" w:space="0" w:color="auto"/>
      </w:divBdr>
      <w:divsChild>
        <w:div w:id="138420790">
          <w:marLeft w:val="0"/>
          <w:marRight w:val="0"/>
          <w:marTop w:val="0"/>
          <w:marBottom w:val="0"/>
          <w:divBdr>
            <w:top w:val="none" w:sz="0" w:space="0" w:color="auto"/>
            <w:left w:val="none" w:sz="0" w:space="0" w:color="auto"/>
            <w:bottom w:val="none" w:sz="0" w:space="0" w:color="auto"/>
            <w:right w:val="none" w:sz="0" w:space="0" w:color="auto"/>
          </w:divBdr>
          <w:divsChild>
            <w:div w:id="765156001">
              <w:marLeft w:val="0"/>
              <w:marRight w:val="0"/>
              <w:marTop w:val="0"/>
              <w:marBottom w:val="0"/>
              <w:divBdr>
                <w:top w:val="none" w:sz="0" w:space="0" w:color="auto"/>
                <w:left w:val="none" w:sz="0" w:space="0" w:color="auto"/>
                <w:bottom w:val="none" w:sz="0" w:space="0" w:color="auto"/>
                <w:right w:val="none" w:sz="0" w:space="0" w:color="auto"/>
              </w:divBdr>
            </w:div>
          </w:divsChild>
        </w:div>
        <w:div w:id="140999296">
          <w:marLeft w:val="0"/>
          <w:marRight w:val="0"/>
          <w:marTop w:val="0"/>
          <w:marBottom w:val="0"/>
          <w:divBdr>
            <w:top w:val="none" w:sz="0" w:space="0" w:color="auto"/>
            <w:left w:val="none" w:sz="0" w:space="0" w:color="auto"/>
            <w:bottom w:val="none" w:sz="0" w:space="0" w:color="auto"/>
            <w:right w:val="none" w:sz="0" w:space="0" w:color="auto"/>
          </w:divBdr>
          <w:divsChild>
            <w:div w:id="1454254630">
              <w:marLeft w:val="0"/>
              <w:marRight w:val="0"/>
              <w:marTop w:val="0"/>
              <w:marBottom w:val="0"/>
              <w:divBdr>
                <w:top w:val="none" w:sz="0" w:space="0" w:color="auto"/>
                <w:left w:val="none" w:sz="0" w:space="0" w:color="auto"/>
                <w:bottom w:val="none" w:sz="0" w:space="0" w:color="auto"/>
                <w:right w:val="none" w:sz="0" w:space="0" w:color="auto"/>
              </w:divBdr>
            </w:div>
          </w:divsChild>
        </w:div>
        <w:div w:id="229468989">
          <w:marLeft w:val="0"/>
          <w:marRight w:val="0"/>
          <w:marTop w:val="0"/>
          <w:marBottom w:val="0"/>
          <w:divBdr>
            <w:top w:val="none" w:sz="0" w:space="0" w:color="auto"/>
            <w:left w:val="none" w:sz="0" w:space="0" w:color="auto"/>
            <w:bottom w:val="none" w:sz="0" w:space="0" w:color="auto"/>
            <w:right w:val="none" w:sz="0" w:space="0" w:color="auto"/>
          </w:divBdr>
          <w:divsChild>
            <w:div w:id="1607998479">
              <w:marLeft w:val="0"/>
              <w:marRight w:val="0"/>
              <w:marTop w:val="0"/>
              <w:marBottom w:val="0"/>
              <w:divBdr>
                <w:top w:val="none" w:sz="0" w:space="0" w:color="auto"/>
                <w:left w:val="none" w:sz="0" w:space="0" w:color="auto"/>
                <w:bottom w:val="none" w:sz="0" w:space="0" w:color="auto"/>
                <w:right w:val="none" w:sz="0" w:space="0" w:color="auto"/>
              </w:divBdr>
            </w:div>
          </w:divsChild>
        </w:div>
        <w:div w:id="238250437">
          <w:marLeft w:val="0"/>
          <w:marRight w:val="0"/>
          <w:marTop w:val="0"/>
          <w:marBottom w:val="0"/>
          <w:divBdr>
            <w:top w:val="none" w:sz="0" w:space="0" w:color="auto"/>
            <w:left w:val="none" w:sz="0" w:space="0" w:color="auto"/>
            <w:bottom w:val="none" w:sz="0" w:space="0" w:color="auto"/>
            <w:right w:val="none" w:sz="0" w:space="0" w:color="auto"/>
          </w:divBdr>
          <w:divsChild>
            <w:div w:id="24916602">
              <w:marLeft w:val="0"/>
              <w:marRight w:val="0"/>
              <w:marTop w:val="0"/>
              <w:marBottom w:val="0"/>
              <w:divBdr>
                <w:top w:val="none" w:sz="0" w:space="0" w:color="auto"/>
                <w:left w:val="none" w:sz="0" w:space="0" w:color="auto"/>
                <w:bottom w:val="none" w:sz="0" w:space="0" w:color="auto"/>
                <w:right w:val="none" w:sz="0" w:space="0" w:color="auto"/>
              </w:divBdr>
            </w:div>
          </w:divsChild>
        </w:div>
        <w:div w:id="249196187">
          <w:marLeft w:val="0"/>
          <w:marRight w:val="0"/>
          <w:marTop w:val="0"/>
          <w:marBottom w:val="0"/>
          <w:divBdr>
            <w:top w:val="none" w:sz="0" w:space="0" w:color="auto"/>
            <w:left w:val="none" w:sz="0" w:space="0" w:color="auto"/>
            <w:bottom w:val="none" w:sz="0" w:space="0" w:color="auto"/>
            <w:right w:val="none" w:sz="0" w:space="0" w:color="auto"/>
          </w:divBdr>
          <w:divsChild>
            <w:div w:id="2023512357">
              <w:marLeft w:val="0"/>
              <w:marRight w:val="0"/>
              <w:marTop w:val="0"/>
              <w:marBottom w:val="0"/>
              <w:divBdr>
                <w:top w:val="none" w:sz="0" w:space="0" w:color="auto"/>
                <w:left w:val="none" w:sz="0" w:space="0" w:color="auto"/>
                <w:bottom w:val="none" w:sz="0" w:space="0" w:color="auto"/>
                <w:right w:val="none" w:sz="0" w:space="0" w:color="auto"/>
              </w:divBdr>
            </w:div>
          </w:divsChild>
        </w:div>
        <w:div w:id="321274124">
          <w:marLeft w:val="0"/>
          <w:marRight w:val="0"/>
          <w:marTop w:val="0"/>
          <w:marBottom w:val="0"/>
          <w:divBdr>
            <w:top w:val="none" w:sz="0" w:space="0" w:color="auto"/>
            <w:left w:val="none" w:sz="0" w:space="0" w:color="auto"/>
            <w:bottom w:val="none" w:sz="0" w:space="0" w:color="auto"/>
            <w:right w:val="none" w:sz="0" w:space="0" w:color="auto"/>
          </w:divBdr>
          <w:divsChild>
            <w:div w:id="2139062231">
              <w:marLeft w:val="0"/>
              <w:marRight w:val="0"/>
              <w:marTop w:val="0"/>
              <w:marBottom w:val="0"/>
              <w:divBdr>
                <w:top w:val="none" w:sz="0" w:space="0" w:color="auto"/>
                <w:left w:val="none" w:sz="0" w:space="0" w:color="auto"/>
                <w:bottom w:val="none" w:sz="0" w:space="0" w:color="auto"/>
                <w:right w:val="none" w:sz="0" w:space="0" w:color="auto"/>
              </w:divBdr>
            </w:div>
          </w:divsChild>
        </w:div>
        <w:div w:id="326791236">
          <w:marLeft w:val="0"/>
          <w:marRight w:val="0"/>
          <w:marTop w:val="0"/>
          <w:marBottom w:val="0"/>
          <w:divBdr>
            <w:top w:val="none" w:sz="0" w:space="0" w:color="auto"/>
            <w:left w:val="none" w:sz="0" w:space="0" w:color="auto"/>
            <w:bottom w:val="none" w:sz="0" w:space="0" w:color="auto"/>
            <w:right w:val="none" w:sz="0" w:space="0" w:color="auto"/>
          </w:divBdr>
          <w:divsChild>
            <w:div w:id="191383374">
              <w:marLeft w:val="0"/>
              <w:marRight w:val="0"/>
              <w:marTop w:val="0"/>
              <w:marBottom w:val="0"/>
              <w:divBdr>
                <w:top w:val="none" w:sz="0" w:space="0" w:color="auto"/>
                <w:left w:val="none" w:sz="0" w:space="0" w:color="auto"/>
                <w:bottom w:val="none" w:sz="0" w:space="0" w:color="auto"/>
                <w:right w:val="none" w:sz="0" w:space="0" w:color="auto"/>
              </w:divBdr>
            </w:div>
          </w:divsChild>
        </w:div>
        <w:div w:id="527455807">
          <w:marLeft w:val="0"/>
          <w:marRight w:val="0"/>
          <w:marTop w:val="0"/>
          <w:marBottom w:val="0"/>
          <w:divBdr>
            <w:top w:val="none" w:sz="0" w:space="0" w:color="auto"/>
            <w:left w:val="none" w:sz="0" w:space="0" w:color="auto"/>
            <w:bottom w:val="none" w:sz="0" w:space="0" w:color="auto"/>
            <w:right w:val="none" w:sz="0" w:space="0" w:color="auto"/>
          </w:divBdr>
          <w:divsChild>
            <w:div w:id="229271500">
              <w:marLeft w:val="0"/>
              <w:marRight w:val="0"/>
              <w:marTop w:val="0"/>
              <w:marBottom w:val="0"/>
              <w:divBdr>
                <w:top w:val="none" w:sz="0" w:space="0" w:color="auto"/>
                <w:left w:val="none" w:sz="0" w:space="0" w:color="auto"/>
                <w:bottom w:val="none" w:sz="0" w:space="0" w:color="auto"/>
                <w:right w:val="none" w:sz="0" w:space="0" w:color="auto"/>
              </w:divBdr>
            </w:div>
          </w:divsChild>
        </w:div>
        <w:div w:id="586378152">
          <w:marLeft w:val="0"/>
          <w:marRight w:val="0"/>
          <w:marTop w:val="0"/>
          <w:marBottom w:val="0"/>
          <w:divBdr>
            <w:top w:val="none" w:sz="0" w:space="0" w:color="auto"/>
            <w:left w:val="none" w:sz="0" w:space="0" w:color="auto"/>
            <w:bottom w:val="none" w:sz="0" w:space="0" w:color="auto"/>
            <w:right w:val="none" w:sz="0" w:space="0" w:color="auto"/>
          </w:divBdr>
          <w:divsChild>
            <w:div w:id="370956088">
              <w:marLeft w:val="0"/>
              <w:marRight w:val="0"/>
              <w:marTop w:val="0"/>
              <w:marBottom w:val="0"/>
              <w:divBdr>
                <w:top w:val="none" w:sz="0" w:space="0" w:color="auto"/>
                <w:left w:val="none" w:sz="0" w:space="0" w:color="auto"/>
                <w:bottom w:val="none" w:sz="0" w:space="0" w:color="auto"/>
                <w:right w:val="none" w:sz="0" w:space="0" w:color="auto"/>
              </w:divBdr>
            </w:div>
          </w:divsChild>
        </w:div>
        <w:div w:id="671029943">
          <w:marLeft w:val="0"/>
          <w:marRight w:val="0"/>
          <w:marTop w:val="0"/>
          <w:marBottom w:val="0"/>
          <w:divBdr>
            <w:top w:val="none" w:sz="0" w:space="0" w:color="auto"/>
            <w:left w:val="none" w:sz="0" w:space="0" w:color="auto"/>
            <w:bottom w:val="none" w:sz="0" w:space="0" w:color="auto"/>
            <w:right w:val="none" w:sz="0" w:space="0" w:color="auto"/>
          </w:divBdr>
          <w:divsChild>
            <w:div w:id="1776050804">
              <w:marLeft w:val="0"/>
              <w:marRight w:val="0"/>
              <w:marTop w:val="0"/>
              <w:marBottom w:val="0"/>
              <w:divBdr>
                <w:top w:val="none" w:sz="0" w:space="0" w:color="auto"/>
                <w:left w:val="none" w:sz="0" w:space="0" w:color="auto"/>
                <w:bottom w:val="none" w:sz="0" w:space="0" w:color="auto"/>
                <w:right w:val="none" w:sz="0" w:space="0" w:color="auto"/>
              </w:divBdr>
            </w:div>
          </w:divsChild>
        </w:div>
        <w:div w:id="726345269">
          <w:marLeft w:val="0"/>
          <w:marRight w:val="0"/>
          <w:marTop w:val="0"/>
          <w:marBottom w:val="0"/>
          <w:divBdr>
            <w:top w:val="none" w:sz="0" w:space="0" w:color="auto"/>
            <w:left w:val="none" w:sz="0" w:space="0" w:color="auto"/>
            <w:bottom w:val="none" w:sz="0" w:space="0" w:color="auto"/>
            <w:right w:val="none" w:sz="0" w:space="0" w:color="auto"/>
          </w:divBdr>
          <w:divsChild>
            <w:div w:id="914364192">
              <w:marLeft w:val="0"/>
              <w:marRight w:val="0"/>
              <w:marTop w:val="0"/>
              <w:marBottom w:val="0"/>
              <w:divBdr>
                <w:top w:val="none" w:sz="0" w:space="0" w:color="auto"/>
                <w:left w:val="none" w:sz="0" w:space="0" w:color="auto"/>
                <w:bottom w:val="none" w:sz="0" w:space="0" w:color="auto"/>
                <w:right w:val="none" w:sz="0" w:space="0" w:color="auto"/>
              </w:divBdr>
            </w:div>
          </w:divsChild>
        </w:div>
        <w:div w:id="797602943">
          <w:marLeft w:val="0"/>
          <w:marRight w:val="0"/>
          <w:marTop w:val="0"/>
          <w:marBottom w:val="0"/>
          <w:divBdr>
            <w:top w:val="none" w:sz="0" w:space="0" w:color="auto"/>
            <w:left w:val="none" w:sz="0" w:space="0" w:color="auto"/>
            <w:bottom w:val="none" w:sz="0" w:space="0" w:color="auto"/>
            <w:right w:val="none" w:sz="0" w:space="0" w:color="auto"/>
          </w:divBdr>
          <w:divsChild>
            <w:div w:id="1245069111">
              <w:marLeft w:val="0"/>
              <w:marRight w:val="0"/>
              <w:marTop w:val="0"/>
              <w:marBottom w:val="0"/>
              <w:divBdr>
                <w:top w:val="none" w:sz="0" w:space="0" w:color="auto"/>
                <w:left w:val="none" w:sz="0" w:space="0" w:color="auto"/>
                <w:bottom w:val="none" w:sz="0" w:space="0" w:color="auto"/>
                <w:right w:val="none" w:sz="0" w:space="0" w:color="auto"/>
              </w:divBdr>
            </w:div>
          </w:divsChild>
        </w:div>
        <w:div w:id="918831447">
          <w:marLeft w:val="0"/>
          <w:marRight w:val="0"/>
          <w:marTop w:val="0"/>
          <w:marBottom w:val="0"/>
          <w:divBdr>
            <w:top w:val="none" w:sz="0" w:space="0" w:color="auto"/>
            <w:left w:val="none" w:sz="0" w:space="0" w:color="auto"/>
            <w:bottom w:val="none" w:sz="0" w:space="0" w:color="auto"/>
            <w:right w:val="none" w:sz="0" w:space="0" w:color="auto"/>
          </w:divBdr>
          <w:divsChild>
            <w:div w:id="622419435">
              <w:marLeft w:val="0"/>
              <w:marRight w:val="0"/>
              <w:marTop w:val="0"/>
              <w:marBottom w:val="0"/>
              <w:divBdr>
                <w:top w:val="none" w:sz="0" w:space="0" w:color="auto"/>
                <w:left w:val="none" w:sz="0" w:space="0" w:color="auto"/>
                <w:bottom w:val="none" w:sz="0" w:space="0" w:color="auto"/>
                <w:right w:val="none" w:sz="0" w:space="0" w:color="auto"/>
              </w:divBdr>
            </w:div>
          </w:divsChild>
        </w:div>
        <w:div w:id="934292133">
          <w:marLeft w:val="0"/>
          <w:marRight w:val="0"/>
          <w:marTop w:val="0"/>
          <w:marBottom w:val="0"/>
          <w:divBdr>
            <w:top w:val="none" w:sz="0" w:space="0" w:color="auto"/>
            <w:left w:val="none" w:sz="0" w:space="0" w:color="auto"/>
            <w:bottom w:val="none" w:sz="0" w:space="0" w:color="auto"/>
            <w:right w:val="none" w:sz="0" w:space="0" w:color="auto"/>
          </w:divBdr>
          <w:divsChild>
            <w:div w:id="1758671316">
              <w:marLeft w:val="0"/>
              <w:marRight w:val="0"/>
              <w:marTop w:val="0"/>
              <w:marBottom w:val="0"/>
              <w:divBdr>
                <w:top w:val="none" w:sz="0" w:space="0" w:color="auto"/>
                <w:left w:val="none" w:sz="0" w:space="0" w:color="auto"/>
                <w:bottom w:val="none" w:sz="0" w:space="0" w:color="auto"/>
                <w:right w:val="none" w:sz="0" w:space="0" w:color="auto"/>
              </w:divBdr>
            </w:div>
          </w:divsChild>
        </w:div>
        <w:div w:id="1219125102">
          <w:marLeft w:val="0"/>
          <w:marRight w:val="0"/>
          <w:marTop w:val="0"/>
          <w:marBottom w:val="0"/>
          <w:divBdr>
            <w:top w:val="none" w:sz="0" w:space="0" w:color="auto"/>
            <w:left w:val="none" w:sz="0" w:space="0" w:color="auto"/>
            <w:bottom w:val="none" w:sz="0" w:space="0" w:color="auto"/>
            <w:right w:val="none" w:sz="0" w:space="0" w:color="auto"/>
          </w:divBdr>
          <w:divsChild>
            <w:div w:id="335235155">
              <w:marLeft w:val="0"/>
              <w:marRight w:val="0"/>
              <w:marTop w:val="0"/>
              <w:marBottom w:val="0"/>
              <w:divBdr>
                <w:top w:val="none" w:sz="0" w:space="0" w:color="auto"/>
                <w:left w:val="none" w:sz="0" w:space="0" w:color="auto"/>
                <w:bottom w:val="none" w:sz="0" w:space="0" w:color="auto"/>
                <w:right w:val="none" w:sz="0" w:space="0" w:color="auto"/>
              </w:divBdr>
            </w:div>
            <w:div w:id="524637494">
              <w:marLeft w:val="0"/>
              <w:marRight w:val="0"/>
              <w:marTop w:val="0"/>
              <w:marBottom w:val="0"/>
              <w:divBdr>
                <w:top w:val="none" w:sz="0" w:space="0" w:color="auto"/>
                <w:left w:val="none" w:sz="0" w:space="0" w:color="auto"/>
                <w:bottom w:val="none" w:sz="0" w:space="0" w:color="auto"/>
                <w:right w:val="none" w:sz="0" w:space="0" w:color="auto"/>
              </w:divBdr>
            </w:div>
          </w:divsChild>
        </w:div>
        <w:div w:id="1284573898">
          <w:marLeft w:val="0"/>
          <w:marRight w:val="0"/>
          <w:marTop w:val="0"/>
          <w:marBottom w:val="0"/>
          <w:divBdr>
            <w:top w:val="none" w:sz="0" w:space="0" w:color="auto"/>
            <w:left w:val="none" w:sz="0" w:space="0" w:color="auto"/>
            <w:bottom w:val="none" w:sz="0" w:space="0" w:color="auto"/>
            <w:right w:val="none" w:sz="0" w:space="0" w:color="auto"/>
          </w:divBdr>
          <w:divsChild>
            <w:div w:id="364143048">
              <w:marLeft w:val="0"/>
              <w:marRight w:val="0"/>
              <w:marTop w:val="0"/>
              <w:marBottom w:val="0"/>
              <w:divBdr>
                <w:top w:val="none" w:sz="0" w:space="0" w:color="auto"/>
                <w:left w:val="none" w:sz="0" w:space="0" w:color="auto"/>
                <w:bottom w:val="none" w:sz="0" w:space="0" w:color="auto"/>
                <w:right w:val="none" w:sz="0" w:space="0" w:color="auto"/>
              </w:divBdr>
            </w:div>
            <w:div w:id="1493567914">
              <w:marLeft w:val="0"/>
              <w:marRight w:val="0"/>
              <w:marTop w:val="0"/>
              <w:marBottom w:val="0"/>
              <w:divBdr>
                <w:top w:val="none" w:sz="0" w:space="0" w:color="auto"/>
                <w:left w:val="none" w:sz="0" w:space="0" w:color="auto"/>
                <w:bottom w:val="none" w:sz="0" w:space="0" w:color="auto"/>
                <w:right w:val="none" w:sz="0" w:space="0" w:color="auto"/>
              </w:divBdr>
            </w:div>
          </w:divsChild>
        </w:div>
        <w:div w:id="1390690559">
          <w:marLeft w:val="0"/>
          <w:marRight w:val="0"/>
          <w:marTop w:val="0"/>
          <w:marBottom w:val="0"/>
          <w:divBdr>
            <w:top w:val="none" w:sz="0" w:space="0" w:color="auto"/>
            <w:left w:val="none" w:sz="0" w:space="0" w:color="auto"/>
            <w:bottom w:val="none" w:sz="0" w:space="0" w:color="auto"/>
            <w:right w:val="none" w:sz="0" w:space="0" w:color="auto"/>
          </w:divBdr>
          <w:divsChild>
            <w:div w:id="640384915">
              <w:marLeft w:val="0"/>
              <w:marRight w:val="0"/>
              <w:marTop w:val="0"/>
              <w:marBottom w:val="0"/>
              <w:divBdr>
                <w:top w:val="none" w:sz="0" w:space="0" w:color="auto"/>
                <w:left w:val="none" w:sz="0" w:space="0" w:color="auto"/>
                <w:bottom w:val="none" w:sz="0" w:space="0" w:color="auto"/>
                <w:right w:val="none" w:sz="0" w:space="0" w:color="auto"/>
              </w:divBdr>
            </w:div>
            <w:div w:id="1300526686">
              <w:marLeft w:val="0"/>
              <w:marRight w:val="0"/>
              <w:marTop w:val="0"/>
              <w:marBottom w:val="0"/>
              <w:divBdr>
                <w:top w:val="none" w:sz="0" w:space="0" w:color="auto"/>
                <w:left w:val="none" w:sz="0" w:space="0" w:color="auto"/>
                <w:bottom w:val="none" w:sz="0" w:space="0" w:color="auto"/>
                <w:right w:val="none" w:sz="0" w:space="0" w:color="auto"/>
              </w:divBdr>
            </w:div>
          </w:divsChild>
        </w:div>
        <w:div w:id="1472094664">
          <w:marLeft w:val="0"/>
          <w:marRight w:val="0"/>
          <w:marTop w:val="0"/>
          <w:marBottom w:val="0"/>
          <w:divBdr>
            <w:top w:val="none" w:sz="0" w:space="0" w:color="auto"/>
            <w:left w:val="none" w:sz="0" w:space="0" w:color="auto"/>
            <w:bottom w:val="none" w:sz="0" w:space="0" w:color="auto"/>
            <w:right w:val="none" w:sz="0" w:space="0" w:color="auto"/>
          </w:divBdr>
          <w:divsChild>
            <w:div w:id="1575623574">
              <w:marLeft w:val="0"/>
              <w:marRight w:val="0"/>
              <w:marTop w:val="0"/>
              <w:marBottom w:val="0"/>
              <w:divBdr>
                <w:top w:val="none" w:sz="0" w:space="0" w:color="auto"/>
                <w:left w:val="none" w:sz="0" w:space="0" w:color="auto"/>
                <w:bottom w:val="none" w:sz="0" w:space="0" w:color="auto"/>
                <w:right w:val="none" w:sz="0" w:space="0" w:color="auto"/>
              </w:divBdr>
            </w:div>
          </w:divsChild>
        </w:div>
        <w:div w:id="1624144089">
          <w:marLeft w:val="0"/>
          <w:marRight w:val="0"/>
          <w:marTop w:val="0"/>
          <w:marBottom w:val="0"/>
          <w:divBdr>
            <w:top w:val="none" w:sz="0" w:space="0" w:color="auto"/>
            <w:left w:val="none" w:sz="0" w:space="0" w:color="auto"/>
            <w:bottom w:val="none" w:sz="0" w:space="0" w:color="auto"/>
            <w:right w:val="none" w:sz="0" w:space="0" w:color="auto"/>
          </w:divBdr>
          <w:divsChild>
            <w:div w:id="1466120775">
              <w:marLeft w:val="0"/>
              <w:marRight w:val="0"/>
              <w:marTop w:val="0"/>
              <w:marBottom w:val="0"/>
              <w:divBdr>
                <w:top w:val="none" w:sz="0" w:space="0" w:color="auto"/>
                <w:left w:val="none" w:sz="0" w:space="0" w:color="auto"/>
                <w:bottom w:val="none" w:sz="0" w:space="0" w:color="auto"/>
                <w:right w:val="none" w:sz="0" w:space="0" w:color="auto"/>
              </w:divBdr>
            </w:div>
          </w:divsChild>
        </w:div>
        <w:div w:id="1631788462">
          <w:marLeft w:val="0"/>
          <w:marRight w:val="0"/>
          <w:marTop w:val="0"/>
          <w:marBottom w:val="0"/>
          <w:divBdr>
            <w:top w:val="none" w:sz="0" w:space="0" w:color="auto"/>
            <w:left w:val="none" w:sz="0" w:space="0" w:color="auto"/>
            <w:bottom w:val="none" w:sz="0" w:space="0" w:color="auto"/>
            <w:right w:val="none" w:sz="0" w:space="0" w:color="auto"/>
          </w:divBdr>
          <w:divsChild>
            <w:div w:id="577446557">
              <w:marLeft w:val="0"/>
              <w:marRight w:val="0"/>
              <w:marTop w:val="0"/>
              <w:marBottom w:val="0"/>
              <w:divBdr>
                <w:top w:val="none" w:sz="0" w:space="0" w:color="auto"/>
                <w:left w:val="none" w:sz="0" w:space="0" w:color="auto"/>
                <w:bottom w:val="none" w:sz="0" w:space="0" w:color="auto"/>
                <w:right w:val="none" w:sz="0" w:space="0" w:color="auto"/>
              </w:divBdr>
            </w:div>
          </w:divsChild>
        </w:div>
        <w:div w:id="1766415736">
          <w:marLeft w:val="0"/>
          <w:marRight w:val="0"/>
          <w:marTop w:val="0"/>
          <w:marBottom w:val="0"/>
          <w:divBdr>
            <w:top w:val="none" w:sz="0" w:space="0" w:color="auto"/>
            <w:left w:val="none" w:sz="0" w:space="0" w:color="auto"/>
            <w:bottom w:val="none" w:sz="0" w:space="0" w:color="auto"/>
            <w:right w:val="none" w:sz="0" w:space="0" w:color="auto"/>
          </w:divBdr>
          <w:divsChild>
            <w:div w:id="476264998">
              <w:marLeft w:val="0"/>
              <w:marRight w:val="0"/>
              <w:marTop w:val="0"/>
              <w:marBottom w:val="0"/>
              <w:divBdr>
                <w:top w:val="none" w:sz="0" w:space="0" w:color="auto"/>
                <w:left w:val="none" w:sz="0" w:space="0" w:color="auto"/>
                <w:bottom w:val="none" w:sz="0" w:space="0" w:color="auto"/>
                <w:right w:val="none" w:sz="0" w:space="0" w:color="auto"/>
              </w:divBdr>
            </w:div>
          </w:divsChild>
        </w:div>
        <w:div w:id="1849438502">
          <w:marLeft w:val="0"/>
          <w:marRight w:val="0"/>
          <w:marTop w:val="0"/>
          <w:marBottom w:val="0"/>
          <w:divBdr>
            <w:top w:val="none" w:sz="0" w:space="0" w:color="auto"/>
            <w:left w:val="none" w:sz="0" w:space="0" w:color="auto"/>
            <w:bottom w:val="none" w:sz="0" w:space="0" w:color="auto"/>
            <w:right w:val="none" w:sz="0" w:space="0" w:color="auto"/>
          </w:divBdr>
          <w:divsChild>
            <w:div w:id="1266353395">
              <w:marLeft w:val="0"/>
              <w:marRight w:val="0"/>
              <w:marTop w:val="0"/>
              <w:marBottom w:val="0"/>
              <w:divBdr>
                <w:top w:val="none" w:sz="0" w:space="0" w:color="auto"/>
                <w:left w:val="none" w:sz="0" w:space="0" w:color="auto"/>
                <w:bottom w:val="none" w:sz="0" w:space="0" w:color="auto"/>
                <w:right w:val="none" w:sz="0" w:space="0" w:color="auto"/>
              </w:divBdr>
            </w:div>
            <w:div w:id="1749502543">
              <w:marLeft w:val="0"/>
              <w:marRight w:val="0"/>
              <w:marTop w:val="0"/>
              <w:marBottom w:val="0"/>
              <w:divBdr>
                <w:top w:val="none" w:sz="0" w:space="0" w:color="auto"/>
                <w:left w:val="none" w:sz="0" w:space="0" w:color="auto"/>
                <w:bottom w:val="none" w:sz="0" w:space="0" w:color="auto"/>
                <w:right w:val="none" w:sz="0" w:space="0" w:color="auto"/>
              </w:divBdr>
            </w:div>
          </w:divsChild>
        </w:div>
        <w:div w:id="1928735188">
          <w:marLeft w:val="0"/>
          <w:marRight w:val="0"/>
          <w:marTop w:val="0"/>
          <w:marBottom w:val="0"/>
          <w:divBdr>
            <w:top w:val="none" w:sz="0" w:space="0" w:color="auto"/>
            <w:left w:val="none" w:sz="0" w:space="0" w:color="auto"/>
            <w:bottom w:val="none" w:sz="0" w:space="0" w:color="auto"/>
            <w:right w:val="none" w:sz="0" w:space="0" w:color="auto"/>
          </w:divBdr>
          <w:divsChild>
            <w:div w:id="125777611">
              <w:marLeft w:val="0"/>
              <w:marRight w:val="0"/>
              <w:marTop w:val="0"/>
              <w:marBottom w:val="0"/>
              <w:divBdr>
                <w:top w:val="none" w:sz="0" w:space="0" w:color="auto"/>
                <w:left w:val="none" w:sz="0" w:space="0" w:color="auto"/>
                <w:bottom w:val="none" w:sz="0" w:space="0" w:color="auto"/>
                <w:right w:val="none" w:sz="0" w:space="0" w:color="auto"/>
              </w:divBdr>
            </w:div>
            <w:div w:id="394474286">
              <w:marLeft w:val="0"/>
              <w:marRight w:val="0"/>
              <w:marTop w:val="0"/>
              <w:marBottom w:val="0"/>
              <w:divBdr>
                <w:top w:val="none" w:sz="0" w:space="0" w:color="auto"/>
                <w:left w:val="none" w:sz="0" w:space="0" w:color="auto"/>
                <w:bottom w:val="none" w:sz="0" w:space="0" w:color="auto"/>
                <w:right w:val="none" w:sz="0" w:space="0" w:color="auto"/>
              </w:divBdr>
            </w:div>
          </w:divsChild>
        </w:div>
        <w:div w:id="2039889203">
          <w:marLeft w:val="0"/>
          <w:marRight w:val="0"/>
          <w:marTop w:val="0"/>
          <w:marBottom w:val="0"/>
          <w:divBdr>
            <w:top w:val="none" w:sz="0" w:space="0" w:color="auto"/>
            <w:left w:val="none" w:sz="0" w:space="0" w:color="auto"/>
            <w:bottom w:val="none" w:sz="0" w:space="0" w:color="auto"/>
            <w:right w:val="none" w:sz="0" w:space="0" w:color="auto"/>
          </w:divBdr>
          <w:divsChild>
            <w:div w:id="1462192582">
              <w:marLeft w:val="0"/>
              <w:marRight w:val="0"/>
              <w:marTop w:val="0"/>
              <w:marBottom w:val="0"/>
              <w:divBdr>
                <w:top w:val="none" w:sz="0" w:space="0" w:color="auto"/>
                <w:left w:val="none" w:sz="0" w:space="0" w:color="auto"/>
                <w:bottom w:val="none" w:sz="0" w:space="0" w:color="auto"/>
                <w:right w:val="none" w:sz="0" w:space="0" w:color="auto"/>
              </w:divBdr>
            </w:div>
            <w:div w:id="1622956141">
              <w:marLeft w:val="0"/>
              <w:marRight w:val="0"/>
              <w:marTop w:val="0"/>
              <w:marBottom w:val="0"/>
              <w:divBdr>
                <w:top w:val="none" w:sz="0" w:space="0" w:color="auto"/>
                <w:left w:val="none" w:sz="0" w:space="0" w:color="auto"/>
                <w:bottom w:val="none" w:sz="0" w:space="0" w:color="auto"/>
                <w:right w:val="none" w:sz="0" w:space="0" w:color="auto"/>
              </w:divBdr>
            </w:div>
          </w:divsChild>
        </w:div>
        <w:div w:id="2107581056">
          <w:marLeft w:val="0"/>
          <w:marRight w:val="0"/>
          <w:marTop w:val="0"/>
          <w:marBottom w:val="0"/>
          <w:divBdr>
            <w:top w:val="none" w:sz="0" w:space="0" w:color="auto"/>
            <w:left w:val="none" w:sz="0" w:space="0" w:color="auto"/>
            <w:bottom w:val="none" w:sz="0" w:space="0" w:color="auto"/>
            <w:right w:val="none" w:sz="0" w:space="0" w:color="auto"/>
          </w:divBdr>
          <w:divsChild>
            <w:div w:id="18042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629114">
      <w:bodyDiv w:val="1"/>
      <w:marLeft w:val="0"/>
      <w:marRight w:val="0"/>
      <w:marTop w:val="0"/>
      <w:marBottom w:val="0"/>
      <w:divBdr>
        <w:top w:val="none" w:sz="0" w:space="0" w:color="auto"/>
        <w:left w:val="none" w:sz="0" w:space="0" w:color="auto"/>
        <w:bottom w:val="none" w:sz="0" w:space="0" w:color="auto"/>
        <w:right w:val="none" w:sz="0" w:space="0" w:color="auto"/>
      </w:divBdr>
      <w:divsChild>
        <w:div w:id="1703477334">
          <w:marLeft w:val="0"/>
          <w:marRight w:val="0"/>
          <w:marTop w:val="0"/>
          <w:marBottom w:val="0"/>
          <w:divBdr>
            <w:top w:val="none" w:sz="0" w:space="0" w:color="auto"/>
            <w:left w:val="none" w:sz="0" w:space="0" w:color="auto"/>
            <w:bottom w:val="none" w:sz="0" w:space="0" w:color="auto"/>
            <w:right w:val="none" w:sz="0" w:space="0" w:color="auto"/>
          </w:divBdr>
          <w:divsChild>
            <w:div w:id="844131121">
              <w:marLeft w:val="0"/>
              <w:marRight w:val="0"/>
              <w:marTop w:val="30"/>
              <w:marBottom w:val="30"/>
              <w:divBdr>
                <w:top w:val="none" w:sz="0" w:space="0" w:color="auto"/>
                <w:left w:val="none" w:sz="0" w:space="0" w:color="auto"/>
                <w:bottom w:val="none" w:sz="0" w:space="0" w:color="auto"/>
                <w:right w:val="none" w:sz="0" w:space="0" w:color="auto"/>
              </w:divBdr>
              <w:divsChild>
                <w:div w:id="23751989">
                  <w:marLeft w:val="0"/>
                  <w:marRight w:val="0"/>
                  <w:marTop w:val="0"/>
                  <w:marBottom w:val="0"/>
                  <w:divBdr>
                    <w:top w:val="none" w:sz="0" w:space="0" w:color="auto"/>
                    <w:left w:val="none" w:sz="0" w:space="0" w:color="auto"/>
                    <w:bottom w:val="none" w:sz="0" w:space="0" w:color="auto"/>
                    <w:right w:val="none" w:sz="0" w:space="0" w:color="auto"/>
                  </w:divBdr>
                  <w:divsChild>
                    <w:div w:id="1007294125">
                      <w:marLeft w:val="0"/>
                      <w:marRight w:val="0"/>
                      <w:marTop w:val="0"/>
                      <w:marBottom w:val="0"/>
                      <w:divBdr>
                        <w:top w:val="none" w:sz="0" w:space="0" w:color="auto"/>
                        <w:left w:val="none" w:sz="0" w:space="0" w:color="auto"/>
                        <w:bottom w:val="none" w:sz="0" w:space="0" w:color="auto"/>
                        <w:right w:val="none" w:sz="0" w:space="0" w:color="auto"/>
                      </w:divBdr>
                    </w:div>
                  </w:divsChild>
                </w:div>
                <w:div w:id="67386549">
                  <w:marLeft w:val="0"/>
                  <w:marRight w:val="0"/>
                  <w:marTop w:val="0"/>
                  <w:marBottom w:val="0"/>
                  <w:divBdr>
                    <w:top w:val="none" w:sz="0" w:space="0" w:color="auto"/>
                    <w:left w:val="none" w:sz="0" w:space="0" w:color="auto"/>
                    <w:bottom w:val="none" w:sz="0" w:space="0" w:color="auto"/>
                    <w:right w:val="none" w:sz="0" w:space="0" w:color="auto"/>
                  </w:divBdr>
                  <w:divsChild>
                    <w:div w:id="1211383332">
                      <w:marLeft w:val="0"/>
                      <w:marRight w:val="0"/>
                      <w:marTop w:val="0"/>
                      <w:marBottom w:val="0"/>
                      <w:divBdr>
                        <w:top w:val="none" w:sz="0" w:space="0" w:color="auto"/>
                        <w:left w:val="none" w:sz="0" w:space="0" w:color="auto"/>
                        <w:bottom w:val="none" w:sz="0" w:space="0" w:color="auto"/>
                        <w:right w:val="none" w:sz="0" w:space="0" w:color="auto"/>
                      </w:divBdr>
                    </w:div>
                  </w:divsChild>
                </w:div>
                <w:div w:id="190732733">
                  <w:marLeft w:val="0"/>
                  <w:marRight w:val="0"/>
                  <w:marTop w:val="0"/>
                  <w:marBottom w:val="0"/>
                  <w:divBdr>
                    <w:top w:val="none" w:sz="0" w:space="0" w:color="auto"/>
                    <w:left w:val="none" w:sz="0" w:space="0" w:color="auto"/>
                    <w:bottom w:val="none" w:sz="0" w:space="0" w:color="auto"/>
                    <w:right w:val="none" w:sz="0" w:space="0" w:color="auto"/>
                  </w:divBdr>
                  <w:divsChild>
                    <w:div w:id="1769420107">
                      <w:marLeft w:val="0"/>
                      <w:marRight w:val="0"/>
                      <w:marTop w:val="0"/>
                      <w:marBottom w:val="0"/>
                      <w:divBdr>
                        <w:top w:val="none" w:sz="0" w:space="0" w:color="auto"/>
                        <w:left w:val="none" w:sz="0" w:space="0" w:color="auto"/>
                        <w:bottom w:val="none" w:sz="0" w:space="0" w:color="auto"/>
                        <w:right w:val="none" w:sz="0" w:space="0" w:color="auto"/>
                      </w:divBdr>
                    </w:div>
                  </w:divsChild>
                </w:div>
                <w:div w:id="367684780">
                  <w:marLeft w:val="0"/>
                  <w:marRight w:val="0"/>
                  <w:marTop w:val="0"/>
                  <w:marBottom w:val="0"/>
                  <w:divBdr>
                    <w:top w:val="none" w:sz="0" w:space="0" w:color="auto"/>
                    <w:left w:val="none" w:sz="0" w:space="0" w:color="auto"/>
                    <w:bottom w:val="none" w:sz="0" w:space="0" w:color="auto"/>
                    <w:right w:val="none" w:sz="0" w:space="0" w:color="auto"/>
                  </w:divBdr>
                  <w:divsChild>
                    <w:div w:id="1999503834">
                      <w:marLeft w:val="0"/>
                      <w:marRight w:val="0"/>
                      <w:marTop w:val="0"/>
                      <w:marBottom w:val="0"/>
                      <w:divBdr>
                        <w:top w:val="none" w:sz="0" w:space="0" w:color="auto"/>
                        <w:left w:val="none" w:sz="0" w:space="0" w:color="auto"/>
                        <w:bottom w:val="none" w:sz="0" w:space="0" w:color="auto"/>
                        <w:right w:val="none" w:sz="0" w:space="0" w:color="auto"/>
                      </w:divBdr>
                    </w:div>
                  </w:divsChild>
                </w:div>
                <w:div w:id="561675236">
                  <w:marLeft w:val="0"/>
                  <w:marRight w:val="0"/>
                  <w:marTop w:val="0"/>
                  <w:marBottom w:val="0"/>
                  <w:divBdr>
                    <w:top w:val="none" w:sz="0" w:space="0" w:color="auto"/>
                    <w:left w:val="none" w:sz="0" w:space="0" w:color="auto"/>
                    <w:bottom w:val="none" w:sz="0" w:space="0" w:color="auto"/>
                    <w:right w:val="none" w:sz="0" w:space="0" w:color="auto"/>
                  </w:divBdr>
                  <w:divsChild>
                    <w:div w:id="414936926">
                      <w:marLeft w:val="0"/>
                      <w:marRight w:val="0"/>
                      <w:marTop w:val="0"/>
                      <w:marBottom w:val="0"/>
                      <w:divBdr>
                        <w:top w:val="none" w:sz="0" w:space="0" w:color="auto"/>
                        <w:left w:val="none" w:sz="0" w:space="0" w:color="auto"/>
                        <w:bottom w:val="none" w:sz="0" w:space="0" w:color="auto"/>
                        <w:right w:val="none" w:sz="0" w:space="0" w:color="auto"/>
                      </w:divBdr>
                    </w:div>
                  </w:divsChild>
                </w:div>
                <w:div w:id="663817515">
                  <w:marLeft w:val="0"/>
                  <w:marRight w:val="0"/>
                  <w:marTop w:val="0"/>
                  <w:marBottom w:val="0"/>
                  <w:divBdr>
                    <w:top w:val="none" w:sz="0" w:space="0" w:color="auto"/>
                    <w:left w:val="none" w:sz="0" w:space="0" w:color="auto"/>
                    <w:bottom w:val="none" w:sz="0" w:space="0" w:color="auto"/>
                    <w:right w:val="none" w:sz="0" w:space="0" w:color="auto"/>
                  </w:divBdr>
                  <w:divsChild>
                    <w:div w:id="1874031245">
                      <w:marLeft w:val="0"/>
                      <w:marRight w:val="0"/>
                      <w:marTop w:val="0"/>
                      <w:marBottom w:val="0"/>
                      <w:divBdr>
                        <w:top w:val="none" w:sz="0" w:space="0" w:color="auto"/>
                        <w:left w:val="none" w:sz="0" w:space="0" w:color="auto"/>
                        <w:bottom w:val="none" w:sz="0" w:space="0" w:color="auto"/>
                        <w:right w:val="none" w:sz="0" w:space="0" w:color="auto"/>
                      </w:divBdr>
                    </w:div>
                  </w:divsChild>
                </w:div>
                <w:div w:id="678774839">
                  <w:marLeft w:val="0"/>
                  <w:marRight w:val="0"/>
                  <w:marTop w:val="0"/>
                  <w:marBottom w:val="0"/>
                  <w:divBdr>
                    <w:top w:val="none" w:sz="0" w:space="0" w:color="auto"/>
                    <w:left w:val="none" w:sz="0" w:space="0" w:color="auto"/>
                    <w:bottom w:val="none" w:sz="0" w:space="0" w:color="auto"/>
                    <w:right w:val="none" w:sz="0" w:space="0" w:color="auto"/>
                  </w:divBdr>
                  <w:divsChild>
                    <w:div w:id="215554167">
                      <w:marLeft w:val="0"/>
                      <w:marRight w:val="0"/>
                      <w:marTop w:val="0"/>
                      <w:marBottom w:val="0"/>
                      <w:divBdr>
                        <w:top w:val="none" w:sz="0" w:space="0" w:color="auto"/>
                        <w:left w:val="none" w:sz="0" w:space="0" w:color="auto"/>
                        <w:bottom w:val="none" w:sz="0" w:space="0" w:color="auto"/>
                        <w:right w:val="none" w:sz="0" w:space="0" w:color="auto"/>
                      </w:divBdr>
                    </w:div>
                    <w:div w:id="994189798">
                      <w:marLeft w:val="0"/>
                      <w:marRight w:val="0"/>
                      <w:marTop w:val="0"/>
                      <w:marBottom w:val="0"/>
                      <w:divBdr>
                        <w:top w:val="none" w:sz="0" w:space="0" w:color="auto"/>
                        <w:left w:val="none" w:sz="0" w:space="0" w:color="auto"/>
                        <w:bottom w:val="none" w:sz="0" w:space="0" w:color="auto"/>
                        <w:right w:val="none" w:sz="0" w:space="0" w:color="auto"/>
                      </w:divBdr>
                    </w:div>
                  </w:divsChild>
                </w:div>
                <w:div w:id="754741653">
                  <w:marLeft w:val="0"/>
                  <w:marRight w:val="0"/>
                  <w:marTop w:val="0"/>
                  <w:marBottom w:val="0"/>
                  <w:divBdr>
                    <w:top w:val="none" w:sz="0" w:space="0" w:color="auto"/>
                    <w:left w:val="none" w:sz="0" w:space="0" w:color="auto"/>
                    <w:bottom w:val="none" w:sz="0" w:space="0" w:color="auto"/>
                    <w:right w:val="none" w:sz="0" w:space="0" w:color="auto"/>
                  </w:divBdr>
                  <w:divsChild>
                    <w:div w:id="1694841821">
                      <w:marLeft w:val="0"/>
                      <w:marRight w:val="0"/>
                      <w:marTop w:val="0"/>
                      <w:marBottom w:val="0"/>
                      <w:divBdr>
                        <w:top w:val="none" w:sz="0" w:space="0" w:color="auto"/>
                        <w:left w:val="none" w:sz="0" w:space="0" w:color="auto"/>
                        <w:bottom w:val="none" w:sz="0" w:space="0" w:color="auto"/>
                        <w:right w:val="none" w:sz="0" w:space="0" w:color="auto"/>
                      </w:divBdr>
                    </w:div>
                  </w:divsChild>
                </w:div>
                <w:div w:id="841046473">
                  <w:marLeft w:val="0"/>
                  <w:marRight w:val="0"/>
                  <w:marTop w:val="0"/>
                  <w:marBottom w:val="0"/>
                  <w:divBdr>
                    <w:top w:val="none" w:sz="0" w:space="0" w:color="auto"/>
                    <w:left w:val="none" w:sz="0" w:space="0" w:color="auto"/>
                    <w:bottom w:val="none" w:sz="0" w:space="0" w:color="auto"/>
                    <w:right w:val="none" w:sz="0" w:space="0" w:color="auto"/>
                  </w:divBdr>
                  <w:divsChild>
                    <w:div w:id="929432994">
                      <w:marLeft w:val="0"/>
                      <w:marRight w:val="0"/>
                      <w:marTop w:val="0"/>
                      <w:marBottom w:val="0"/>
                      <w:divBdr>
                        <w:top w:val="none" w:sz="0" w:space="0" w:color="auto"/>
                        <w:left w:val="none" w:sz="0" w:space="0" w:color="auto"/>
                        <w:bottom w:val="none" w:sz="0" w:space="0" w:color="auto"/>
                        <w:right w:val="none" w:sz="0" w:space="0" w:color="auto"/>
                      </w:divBdr>
                    </w:div>
                  </w:divsChild>
                </w:div>
                <w:div w:id="927927407">
                  <w:marLeft w:val="0"/>
                  <w:marRight w:val="0"/>
                  <w:marTop w:val="0"/>
                  <w:marBottom w:val="0"/>
                  <w:divBdr>
                    <w:top w:val="none" w:sz="0" w:space="0" w:color="auto"/>
                    <w:left w:val="none" w:sz="0" w:space="0" w:color="auto"/>
                    <w:bottom w:val="none" w:sz="0" w:space="0" w:color="auto"/>
                    <w:right w:val="none" w:sz="0" w:space="0" w:color="auto"/>
                  </w:divBdr>
                  <w:divsChild>
                    <w:div w:id="160976719">
                      <w:marLeft w:val="0"/>
                      <w:marRight w:val="0"/>
                      <w:marTop w:val="0"/>
                      <w:marBottom w:val="0"/>
                      <w:divBdr>
                        <w:top w:val="none" w:sz="0" w:space="0" w:color="auto"/>
                        <w:left w:val="none" w:sz="0" w:space="0" w:color="auto"/>
                        <w:bottom w:val="none" w:sz="0" w:space="0" w:color="auto"/>
                        <w:right w:val="none" w:sz="0" w:space="0" w:color="auto"/>
                      </w:divBdr>
                    </w:div>
                  </w:divsChild>
                </w:div>
                <w:div w:id="970942280">
                  <w:marLeft w:val="0"/>
                  <w:marRight w:val="0"/>
                  <w:marTop w:val="0"/>
                  <w:marBottom w:val="0"/>
                  <w:divBdr>
                    <w:top w:val="none" w:sz="0" w:space="0" w:color="auto"/>
                    <w:left w:val="none" w:sz="0" w:space="0" w:color="auto"/>
                    <w:bottom w:val="none" w:sz="0" w:space="0" w:color="auto"/>
                    <w:right w:val="none" w:sz="0" w:space="0" w:color="auto"/>
                  </w:divBdr>
                  <w:divsChild>
                    <w:div w:id="1925647612">
                      <w:marLeft w:val="0"/>
                      <w:marRight w:val="0"/>
                      <w:marTop w:val="0"/>
                      <w:marBottom w:val="0"/>
                      <w:divBdr>
                        <w:top w:val="none" w:sz="0" w:space="0" w:color="auto"/>
                        <w:left w:val="none" w:sz="0" w:space="0" w:color="auto"/>
                        <w:bottom w:val="none" w:sz="0" w:space="0" w:color="auto"/>
                        <w:right w:val="none" w:sz="0" w:space="0" w:color="auto"/>
                      </w:divBdr>
                    </w:div>
                  </w:divsChild>
                </w:div>
                <w:div w:id="1201892432">
                  <w:marLeft w:val="0"/>
                  <w:marRight w:val="0"/>
                  <w:marTop w:val="0"/>
                  <w:marBottom w:val="0"/>
                  <w:divBdr>
                    <w:top w:val="none" w:sz="0" w:space="0" w:color="auto"/>
                    <w:left w:val="none" w:sz="0" w:space="0" w:color="auto"/>
                    <w:bottom w:val="none" w:sz="0" w:space="0" w:color="auto"/>
                    <w:right w:val="none" w:sz="0" w:space="0" w:color="auto"/>
                  </w:divBdr>
                  <w:divsChild>
                    <w:div w:id="813252341">
                      <w:marLeft w:val="0"/>
                      <w:marRight w:val="0"/>
                      <w:marTop w:val="0"/>
                      <w:marBottom w:val="0"/>
                      <w:divBdr>
                        <w:top w:val="none" w:sz="0" w:space="0" w:color="auto"/>
                        <w:left w:val="none" w:sz="0" w:space="0" w:color="auto"/>
                        <w:bottom w:val="none" w:sz="0" w:space="0" w:color="auto"/>
                        <w:right w:val="none" w:sz="0" w:space="0" w:color="auto"/>
                      </w:divBdr>
                    </w:div>
                  </w:divsChild>
                </w:div>
                <w:div w:id="1209151534">
                  <w:marLeft w:val="0"/>
                  <w:marRight w:val="0"/>
                  <w:marTop w:val="0"/>
                  <w:marBottom w:val="0"/>
                  <w:divBdr>
                    <w:top w:val="none" w:sz="0" w:space="0" w:color="auto"/>
                    <w:left w:val="none" w:sz="0" w:space="0" w:color="auto"/>
                    <w:bottom w:val="none" w:sz="0" w:space="0" w:color="auto"/>
                    <w:right w:val="none" w:sz="0" w:space="0" w:color="auto"/>
                  </w:divBdr>
                  <w:divsChild>
                    <w:div w:id="1188643967">
                      <w:marLeft w:val="0"/>
                      <w:marRight w:val="0"/>
                      <w:marTop w:val="0"/>
                      <w:marBottom w:val="0"/>
                      <w:divBdr>
                        <w:top w:val="none" w:sz="0" w:space="0" w:color="auto"/>
                        <w:left w:val="none" w:sz="0" w:space="0" w:color="auto"/>
                        <w:bottom w:val="none" w:sz="0" w:space="0" w:color="auto"/>
                        <w:right w:val="none" w:sz="0" w:space="0" w:color="auto"/>
                      </w:divBdr>
                    </w:div>
                  </w:divsChild>
                </w:div>
                <w:div w:id="1276667609">
                  <w:marLeft w:val="0"/>
                  <w:marRight w:val="0"/>
                  <w:marTop w:val="0"/>
                  <w:marBottom w:val="0"/>
                  <w:divBdr>
                    <w:top w:val="none" w:sz="0" w:space="0" w:color="auto"/>
                    <w:left w:val="none" w:sz="0" w:space="0" w:color="auto"/>
                    <w:bottom w:val="none" w:sz="0" w:space="0" w:color="auto"/>
                    <w:right w:val="none" w:sz="0" w:space="0" w:color="auto"/>
                  </w:divBdr>
                  <w:divsChild>
                    <w:div w:id="876040700">
                      <w:marLeft w:val="0"/>
                      <w:marRight w:val="0"/>
                      <w:marTop w:val="0"/>
                      <w:marBottom w:val="0"/>
                      <w:divBdr>
                        <w:top w:val="none" w:sz="0" w:space="0" w:color="auto"/>
                        <w:left w:val="none" w:sz="0" w:space="0" w:color="auto"/>
                        <w:bottom w:val="none" w:sz="0" w:space="0" w:color="auto"/>
                        <w:right w:val="none" w:sz="0" w:space="0" w:color="auto"/>
                      </w:divBdr>
                    </w:div>
                  </w:divsChild>
                </w:div>
                <w:div w:id="1289706978">
                  <w:marLeft w:val="0"/>
                  <w:marRight w:val="0"/>
                  <w:marTop w:val="0"/>
                  <w:marBottom w:val="0"/>
                  <w:divBdr>
                    <w:top w:val="none" w:sz="0" w:space="0" w:color="auto"/>
                    <w:left w:val="none" w:sz="0" w:space="0" w:color="auto"/>
                    <w:bottom w:val="none" w:sz="0" w:space="0" w:color="auto"/>
                    <w:right w:val="none" w:sz="0" w:space="0" w:color="auto"/>
                  </w:divBdr>
                  <w:divsChild>
                    <w:div w:id="2097557209">
                      <w:marLeft w:val="0"/>
                      <w:marRight w:val="0"/>
                      <w:marTop w:val="0"/>
                      <w:marBottom w:val="0"/>
                      <w:divBdr>
                        <w:top w:val="none" w:sz="0" w:space="0" w:color="auto"/>
                        <w:left w:val="none" w:sz="0" w:space="0" w:color="auto"/>
                        <w:bottom w:val="none" w:sz="0" w:space="0" w:color="auto"/>
                        <w:right w:val="none" w:sz="0" w:space="0" w:color="auto"/>
                      </w:divBdr>
                    </w:div>
                  </w:divsChild>
                </w:div>
                <w:div w:id="1340817597">
                  <w:marLeft w:val="0"/>
                  <w:marRight w:val="0"/>
                  <w:marTop w:val="0"/>
                  <w:marBottom w:val="0"/>
                  <w:divBdr>
                    <w:top w:val="none" w:sz="0" w:space="0" w:color="auto"/>
                    <w:left w:val="none" w:sz="0" w:space="0" w:color="auto"/>
                    <w:bottom w:val="none" w:sz="0" w:space="0" w:color="auto"/>
                    <w:right w:val="none" w:sz="0" w:space="0" w:color="auto"/>
                  </w:divBdr>
                  <w:divsChild>
                    <w:div w:id="1066873495">
                      <w:marLeft w:val="0"/>
                      <w:marRight w:val="0"/>
                      <w:marTop w:val="0"/>
                      <w:marBottom w:val="0"/>
                      <w:divBdr>
                        <w:top w:val="none" w:sz="0" w:space="0" w:color="auto"/>
                        <w:left w:val="none" w:sz="0" w:space="0" w:color="auto"/>
                        <w:bottom w:val="none" w:sz="0" w:space="0" w:color="auto"/>
                        <w:right w:val="none" w:sz="0" w:space="0" w:color="auto"/>
                      </w:divBdr>
                    </w:div>
                    <w:div w:id="1741750941">
                      <w:marLeft w:val="0"/>
                      <w:marRight w:val="0"/>
                      <w:marTop w:val="0"/>
                      <w:marBottom w:val="0"/>
                      <w:divBdr>
                        <w:top w:val="none" w:sz="0" w:space="0" w:color="auto"/>
                        <w:left w:val="none" w:sz="0" w:space="0" w:color="auto"/>
                        <w:bottom w:val="none" w:sz="0" w:space="0" w:color="auto"/>
                        <w:right w:val="none" w:sz="0" w:space="0" w:color="auto"/>
                      </w:divBdr>
                    </w:div>
                  </w:divsChild>
                </w:div>
                <w:div w:id="1344935664">
                  <w:marLeft w:val="0"/>
                  <w:marRight w:val="0"/>
                  <w:marTop w:val="0"/>
                  <w:marBottom w:val="0"/>
                  <w:divBdr>
                    <w:top w:val="none" w:sz="0" w:space="0" w:color="auto"/>
                    <w:left w:val="none" w:sz="0" w:space="0" w:color="auto"/>
                    <w:bottom w:val="none" w:sz="0" w:space="0" w:color="auto"/>
                    <w:right w:val="none" w:sz="0" w:space="0" w:color="auto"/>
                  </w:divBdr>
                  <w:divsChild>
                    <w:div w:id="291635455">
                      <w:marLeft w:val="0"/>
                      <w:marRight w:val="0"/>
                      <w:marTop w:val="0"/>
                      <w:marBottom w:val="0"/>
                      <w:divBdr>
                        <w:top w:val="none" w:sz="0" w:space="0" w:color="auto"/>
                        <w:left w:val="none" w:sz="0" w:space="0" w:color="auto"/>
                        <w:bottom w:val="none" w:sz="0" w:space="0" w:color="auto"/>
                        <w:right w:val="none" w:sz="0" w:space="0" w:color="auto"/>
                      </w:divBdr>
                    </w:div>
                    <w:div w:id="430976477">
                      <w:marLeft w:val="0"/>
                      <w:marRight w:val="0"/>
                      <w:marTop w:val="0"/>
                      <w:marBottom w:val="0"/>
                      <w:divBdr>
                        <w:top w:val="none" w:sz="0" w:space="0" w:color="auto"/>
                        <w:left w:val="none" w:sz="0" w:space="0" w:color="auto"/>
                        <w:bottom w:val="none" w:sz="0" w:space="0" w:color="auto"/>
                        <w:right w:val="none" w:sz="0" w:space="0" w:color="auto"/>
                      </w:divBdr>
                    </w:div>
                  </w:divsChild>
                </w:div>
                <w:div w:id="1491291365">
                  <w:marLeft w:val="0"/>
                  <w:marRight w:val="0"/>
                  <w:marTop w:val="0"/>
                  <w:marBottom w:val="0"/>
                  <w:divBdr>
                    <w:top w:val="none" w:sz="0" w:space="0" w:color="auto"/>
                    <w:left w:val="none" w:sz="0" w:space="0" w:color="auto"/>
                    <w:bottom w:val="none" w:sz="0" w:space="0" w:color="auto"/>
                    <w:right w:val="none" w:sz="0" w:space="0" w:color="auto"/>
                  </w:divBdr>
                  <w:divsChild>
                    <w:div w:id="684745687">
                      <w:marLeft w:val="0"/>
                      <w:marRight w:val="0"/>
                      <w:marTop w:val="0"/>
                      <w:marBottom w:val="0"/>
                      <w:divBdr>
                        <w:top w:val="none" w:sz="0" w:space="0" w:color="auto"/>
                        <w:left w:val="none" w:sz="0" w:space="0" w:color="auto"/>
                        <w:bottom w:val="none" w:sz="0" w:space="0" w:color="auto"/>
                        <w:right w:val="none" w:sz="0" w:space="0" w:color="auto"/>
                      </w:divBdr>
                    </w:div>
                  </w:divsChild>
                </w:div>
                <w:div w:id="1588267327">
                  <w:marLeft w:val="0"/>
                  <w:marRight w:val="0"/>
                  <w:marTop w:val="0"/>
                  <w:marBottom w:val="0"/>
                  <w:divBdr>
                    <w:top w:val="none" w:sz="0" w:space="0" w:color="auto"/>
                    <w:left w:val="none" w:sz="0" w:space="0" w:color="auto"/>
                    <w:bottom w:val="none" w:sz="0" w:space="0" w:color="auto"/>
                    <w:right w:val="none" w:sz="0" w:space="0" w:color="auto"/>
                  </w:divBdr>
                  <w:divsChild>
                    <w:div w:id="52390613">
                      <w:marLeft w:val="0"/>
                      <w:marRight w:val="0"/>
                      <w:marTop w:val="0"/>
                      <w:marBottom w:val="0"/>
                      <w:divBdr>
                        <w:top w:val="none" w:sz="0" w:space="0" w:color="auto"/>
                        <w:left w:val="none" w:sz="0" w:space="0" w:color="auto"/>
                        <w:bottom w:val="none" w:sz="0" w:space="0" w:color="auto"/>
                        <w:right w:val="none" w:sz="0" w:space="0" w:color="auto"/>
                      </w:divBdr>
                    </w:div>
                    <w:div w:id="544870677">
                      <w:marLeft w:val="0"/>
                      <w:marRight w:val="0"/>
                      <w:marTop w:val="0"/>
                      <w:marBottom w:val="0"/>
                      <w:divBdr>
                        <w:top w:val="none" w:sz="0" w:space="0" w:color="auto"/>
                        <w:left w:val="none" w:sz="0" w:space="0" w:color="auto"/>
                        <w:bottom w:val="none" w:sz="0" w:space="0" w:color="auto"/>
                        <w:right w:val="none" w:sz="0" w:space="0" w:color="auto"/>
                      </w:divBdr>
                    </w:div>
                  </w:divsChild>
                </w:div>
                <w:div w:id="1730575204">
                  <w:marLeft w:val="0"/>
                  <w:marRight w:val="0"/>
                  <w:marTop w:val="0"/>
                  <w:marBottom w:val="0"/>
                  <w:divBdr>
                    <w:top w:val="none" w:sz="0" w:space="0" w:color="auto"/>
                    <w:left w:val="none" w:sz="0" w:space="0" w:color="auto"/>
                    <w:bottom w:val="none" w:sz="0" w:space="0" w:color="auto"/>
                    <w:right w:val="none" w:sz="0" w:space="0" w:color="auto"/>
                  </w:divBdr>
                  <w:divsChild>
                    <w:div w:id="363293815">
                      <w:marLeft w:val="0"/>
                      <w:marRight w:val="0"/>
                      <w:marTop w:val="0"/>
                      <w:marBottom w:val="0"/>
                      <w:divBdr>
                        <w:top w:val="none" w:sz="0" w:space="0" w:color="auto"/>
                        <w:left w:val="none" w:sz="0" w:space="0" w:color="auto"/>
                        <w:bottom w:val="none" w:sz="0" w:space="0" w:color="auto"/>
                        <w:right w:val="none" w:sz="0" w:space="0" w:color="auto"/>
                      </w:divBdr>
                    </w:div>
                    <w:div w:id="1101684585">
                      <w:marLeft w:val="0"/>
                      <w:marRight w:val="0"/>
                      <w:marTop w:val="0"/>
                      <w:marBottom w:val="0"/>
                      <w:divBdr>
                        <w:top w:val="none" w:sz="0" w:space="0" w:color="auto"/>
                        <w:left w:val="none" w:sz="0" w:space="0" w:color="auto"/>
                        <w:bottom w:val="none" w:sz="0" w:space="0" w:color="auto"/>
                        <w:right w:val="none" w:sz="0" w:space="0" w:color="auto"/>
                      </w:divBdr>
                    </w:div>
                  </w:divsChild>
                </w:div>
                <w:div w:id="1775052534">
                  <w:marLeft w:val="0"/>
                  <w:marRight w:val="0"/>
                  <w:marTop w:val="0"/>
                  <w:marBottom w:val="0"/>
                  <w:divBdr>
                    <w:top w:val="none" w:sz="0" w:space="0" w:color="auto"/>
                    <w:left w:val="none" w:sz="0" w:space="0" w:color="auto"/>
                    <w:bottom w:val="none" w:sz="0" w:space="0" w:color="auto"/>
                    <w:right w:val="none" w:sz="0" w:space="0" w:color="auto"/>
                  </w:divBdr>
                  <w:divsChild>
                    <w:div w:id="825391098">
                      <w:marLeft w:val="0"/>
                      <w:marRight w:val="0"/>
                      <w:marTop w:val="0"/>
                      <w:marBottom w:val="0"/>
                      <w:divBdr>
                        <w:top w:val="none" w:sz="0" w:space="0" w:color="auto"/>
                        <w:left w:val="none" w:sz="0" w:space="0" w:color="auto"/>
                        <w:bottom w:val="none" w:sz="0" w:space="0" w:color="auto"/>
                        <w:right w:val="none" w:sz="0" w:space="0" w:color="auto"/>
                      </w:divBdr>
                    </w:div>
                  </w:divsChild>
                </w:div>
                <w:div w:id="1881160082">
                  <w:marLeft w:val="0"/>
                  <w:marRight w:val="0"/>
                  <w:marTop w:val="0"/>
                  <w:marBottom w:val="0"/>
                  <w:divBdr>
                    <w:top w:val="none" w:sz="0" w:space="0" w:color="auto"/>
                    <w:left w:val="none" w:sz="0" w:space="0" w:color="auto"/>
                    <w:bottom w:val="none" w:sz="0" w:space="0" w:color="auto"/>
                    <w:right w:val="none" w:sz="0" w:space="0" w:color="auto"/>
                  </w:divBdr>
                  <w:divsChild>
                    <w:div w:id="1816216664">
                      <w:marLeft w:val="0"/>
                      <w:marRight w:val="0"/>
                      <w:marTop w:val="0"/>
                      <w:marBottom w:val="0"/>
                      <w:divBdr>
                        <w:top w:val="none" w:sz="0" w:space="0" w:color="auto"/>
                        <w:left w:val="none" w:sz="0" w:space="0" w:color="auto"/>
                        <w:bottom w:val="none" w:sz="0" w:space="0" w:color="auto"/>
                        <w:right w:val="none" w:sz="0" w:space="0" w:color="auto"/>
                      </w:divBdr>
                    </w:div>
                  </w:divsChild>
                </w:div>
                <w:div w:id="1979798359">
                  <w:marLeft w:val="0"/>
                  <w:marRight w:val="0"/>
                  <w:marTop w:val="0"/>
                  <w:marBottom w:val="0"/>
                  <w:divBdr>
                    <w:top w:val="none" w:sz="0" w:space="0" w:color="auto"/>
                    <w:left w:val="none" w:sz="0" w:space="0" w:color="auto"/>
                    <w:bottom w:val="none" w:sz="0" w:space="0" w:color="auto"/>
                    <w:right w:val="none" w:sz="0" w:space="0" w:color="auto"/>
                  </w:divBdr>
                  <w:divsChild>
                    <w:div w:id="357438861">
                      <w:marLeft w:val="0"/>
                      <w:marRight w:val="0"/>
                      <w:marTop w:val="0"/>
                      <w:marBottom w:val="0"/>
                      <w:divBdr>
                        <w:top w:val="none" w:sz="0" w:space="0" w:color="auto"/>
                        <w:left w:val="none" w:sz="0" w:space="0" w:color="auto"/>
                        <w:bottom w:val="none" w:sz="0" w:space="0" w:color="auto"/>
                        <w:right w:val="none" w:sz="0" w:space="0" w:color="auto"/>
                      </w:divBdr>
                    </w:div>
                    <w:div w:id="1223903657">
                      <w:marLeft w:val="0"/>
                      <w:marRight w:val="0"/>
                      <w:marTop w:val="0"/>
                      <w:marBottom w:val="0"/>
                      <w:divBdr>
                        <w:top w:val="none" w:sz="0" w:space="0" w:color="auto"/>
                        <w:left w:val="none" w:sz="0" w:space="0" w:color="auto"/>
                        <w:bottom w:val="none" w:sz="0" w:space="0" w:color="auto"/>
                        <w:right w:val="none" w:sz="0" w:space="0" w:color="auto"/>
                      </w:divBdr>
                    </w:div>
                  </w:divsChild>
                </w:div>
                <w:div w:id="2094936100">
                  <w:marLeft w:val="0"/>
                  <w:marRight w:val="0"/>
                  <w:marTop w:val="0"/>
                  <w:marBottom w:val="0"/>
                  <w:divBdr>
                    <w:top w:val="none" w:sz="0" w:space="0" w:color="auto"/>
                    <w:left w:val="none" w:sz="0" w:space="0" w:color="auto"/>
                    <w:bottom w:val="none" w:sz="0" w:space="0" w:color="auto"/>
                    <w:right w:val="none" w:sz="0" w:space="0" w:color="auto"/>
                  </w:divBdr>
                  <w:divsChild>
                    <w:div w:id="992870587">
                      <w:marLeft w:val="0"/>
                      <w:marRight w:val="0"/>
                      <w:marTop w:val="0"/>
                      <w:marBottom w:val="0"/>
                      <w:divBdr>
                        <w:top w:val="none" w:sz="0" w:space="0" w:color="auto"/>
                        <w:left w:val="none" w:sz="0" w:space="0" w:color="auto"/>
                        <w:bottom w:val="none" w:sz="0" w:space="0" w:color="auto"/>
                        <w:right w:val="none" w:sz="0" w:space="0" w:color="auto"/>
                      </w:divBdr>
                    </w:div>
                  </w:divsChild>
                </w:div>
                <w:div w:id="2128305124">
                  <w:marLeft w:val="0"/>
                  <w:marRight w:val="0"/>
                  <w:marTop w:val="0"/>
                  <w:marBottom w:val="0"/>
                  <w:divBdr>
                    <w:top w:val="none" w:sz="0" w:space="0" w:color="auto"/>
                    <w:left w:val="none" w:sz="0" w:space="0" w:color="auto"/>
                    <w:bottom w:val="none" w:sz="0" w:space="0" w:color="auto"/>
                    <w:right w:val="none" w:sz="0" w:space="0" w:color="auto"/>
                  </w:divBdr>
                  <w:divsChild>
                    <w:div w:id="203341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7728">
          <w:marLeft w:val="0"/>
          <w:marRight w:val="0"/>
          <w:marTop w:val="0"/>
          <w:marBottom w:val="0"/>
          <w:divBdr>
            <w:top w:val="none" w:sz="0" w:space="0" w:color="auto"/>
            <w:left w:val="none" w:sz="0" w:space="0" w:color="auto"/>
            <w:bottom w:val="none" w:sz="0" w:space="0" w:color="auto"/>
            <w:right w:val="none" w:sz="0" w:space="0" w:color="auto"/>
          </w:divBdr>
        </w:div>
      </w:divsChild>
    </w:div>
    <w:div w:id="2028023479">
      <w:bodyDiv w:val="1"/>
      <w:marLeft w:val="0"/>
      <w:marRight w:val="0"/>
      <w:marTop w:val="0"/>
      <w:marBottom w:val="0"/>
      <w:divBdr>
        <w:top w:val="none" w:sz="0" w:space="0" w:color="auto"/>
        <w:left w:val="none" w:sz="0" w:space="0" w:color="auto"/>
        <w:bottom w:val="none" w:sz="0" w:space="0" w:color="auto"/>
        <w:right w:val="none" w:sz="0" w:space="0" w:color="auto"/>
      </w:divBdr>
    </w:div>
    <w:div w:id="2037733022">
      <w:bodyDiv w:val="1"/>
      <w:marLeft w:val="0"/>
      <w:marRight w:val="0"/>
      <w:marTop w:val="0"/>
      <w:marBottom w:val="0"/>
      <w:divBdr>
        <w:top w:val="none" w:sz="0" w:space="0" w:color="auto"/>
        <w:left w:val="none" w:sz="0" w:space="0" w:color="auto"/>
        <w:bottom w:val="none" w:sz="0" w:space="0" w:color="auto"/>
        <w:right w:val="none" w:sz="0" w:space="0" w:color="auto"/>
      </w:divBdr>
    </w:div>
    <w:div w:id="2048286628">
      <w:bodyDiv w:val="1"/>
      <w:marLeft w:val="0"/>
      <w:marRight w:val="0"/>
      <w:marTop w:val="0"/>
      <w:marBottom w:val="0"/>
      <w:divBdr>
        <w:top w:val="none" w:sz="0" w:space="0" w:color="auto"/>
        <w:left w:val="none" w:sz="0" w:space="0" w:color="auto"/>
        <w:bottom w:val="none" w:sz="0" w:space="0" w:color="auto"/>
        <w:right w:val="none" w:sz="0" w:space="0" w:color="auto"/>
      </w:divBdr>
    </w:div>
    <w:div w:id="2059936890">
      <w:bodyDiv w:val="1"/>
      <w:marLeft w:val="0"/>
      <w:marRight w:val="0"/>
      <w:marTop w:val="0"/>
      <w:marBottom w:val="0"/>
      <w:divBdr>
        <w:top w:val="none" w:sz="0" w:space="0" w:color="auto"/>
        <w:left w:val="none" w:sz="0" w:space="0" w:color="auto"/>
        <w:bottom w:val="none" w:sz="0" w:space="0" w:color="auto"/>
        <w:right w:val="none" w:sz="0" w:space="0" w:color="auto"/>
      </w:divBdr>
    </w:div>
    <w:div w:id="2078742347">
      <w:bodyDiv w:val="1"/>
      <w:marLeft w:val="0"/>
      <w:marRight w:val="0"/>
      <w:marTop w:val="0"/>
      <w:marBottom w:val="0"/>
      <w:divBdr>
        <w:top w:val="none" w:sz="0" w:space="0" w:color="auto"/>
        <w:left w:val="none" w:sz="0" w:space="0" w:color="auto"/>
        <w:bottom w:val="none" w:sz="0" w:space="0" w:color="auto"/>
        <w:right w:val="none" w:sz="0" w:space="0" w:color="auto"/>
      </w:divBdr>
    </w:div>
    <w:div w:id="2081634302">
      <w:bodyDiv w:val="1"/>
      <w:marLeft w:val="0"/>
      <w:marRight w:val="0"/>
      <w:marTop w:val="0"/>
      <w:marBottom w:val="0"/>
      <w:divBdr>
        <w:top w:val="none" w:sz="0" w:space="0" w:color="auto"/>
        <w:left w:val="none" w:sz="0" w:space="0" w:color="auto"/>
        <w:bottom w:val="none" w:sz="0" w:space="0" w:color="auto"/>
        <w:right w:val="none" w:sz="0" w:space="0" w:color="auto"/>
      </w:divBdr>
    </w:div>
    <w:div w:id="2089299461">
      <w:bodyDiv w:val="1"/>
      <w:marLeft w:val="0"/>
      <w:marRight w:val="0"/>
      <w:marTop w:val="0"/>
      <w:marBottom w:val="0"/>
      <w:divBdr>
        <w:top w:val="none" w:sz="0" w:space="0" w:color="auto"/>
        <w:left w:val="none" w:sz="0" w:space="0" w:color="auto"/>
        <w:bottom w:val="none" w:sz="0" w:space="0" w:color="auto"/>
        <w:right w:val="none" w:sz="0" w:space="0" w:color="auto"/>
      </w:divBdr>
    </w:div>
    <w:div w:id="2095278106">
      <w:bodyDiv w:val="1"/>
      <w:marLeft w:val="0"/>
      <w:marRight w:val="0"/>
      <w:marTop w:val="0"/>
      <w:marBottom w:val="0"/>
      <w:divBdr>
        <w:top w:val="none" w:sz="0" w:space="0" w:color="auto"/>
        <w:left w:val="none" w:sz="0" w:space="0" w:color="auto"/>
        <w:bottom w:val="none" w:sz="0" w:space="0" w:color="auto"/>
        <w:right w:val="none" w:sz="0" w:space="0" w:color="auto"/>
      </w:divBdr>
      <w:divsChild>
        <w:div w:id="226694898">
          <w:marLeft w:val="0"/>
          <w:marRight w:val="0"/>
          <w:marTop w:val="0"/>
          <w:marBottom w:val="0"/>
          <w:divBdr>
            <w:top w:val="none" w:sz="0" w:space="0" w:color="auto"/>
            <w:left w:val="none" w:sz="0" w:space="0" w:color="auto"/>
            <w:bottom w:val="none" w:sz="0" w:space="0" w:color="auto"/>
            <w:right w:val="none" w:sz="0" w:space="0" w:color="auto"/>
          </w:divBdr>
          <w:divsChild>
            <w:div w:id="1883209297">
              <w:marLeft w:val="0"/>
              <w:marRight w:val="0"/>
              <w:marTop w:val="0"/>
              <w:marBottom w:val="0"/>
              <w:divBdr>
                <w:top w:val="none" w:sz="0" w:space="0" w:color="auto"/>
                <w:left w:val="none" w:sz="0" w:space="0" w:color="auto"/>
                <w:bottom w:val="none" w:sz="0" w:space="0" w:color="auto"/>
                <w:right w:val="none" w:sz="0" w:space="0" w:color="auto"/>
              </w:divBdr>
            </w:div>
          </w:divsChild>
        </w:div>
        <w:div w:id="333387985">
          <w:marLeft w:val="0"/>
          <w:marRight w:val="0"/>
          <w:marTop w:val="0"/>
          <w:marBottom w:val="0"/>
          <w:divBdr>
            <w:top w:val="none" w:sz="0" w:space="0" w:color="auto"/>
            <w:left w:val="none" w:sz="0" w:space="0" w:color="auto"/>
            <w:bottom w:val="none" w:sz="0" w:space="0" w:color="auto"/>
            <w:right w:val="none" w:sz="0" w:space="0" w:color="auto"/>
          </w:divBdr>
          <w:divsChild>
            <w:div w:id="83383069">
              <w:marLeft w:val="0"/>
              <w:marRight w:val="0"/>
              <w:marTop w:val="0"/>
              <w:marBottom w:val="0"/>
              <w:divBdr>
                <w:top w:val="none" w:sz="0" w:space="0" w:color="auto"/>
                <w:left w:val="none" w:sz="0" w:space="0" w:color="auto"/>
                <w:bottom w:val="none" w:sz="0" w:space="0" w:color="auto"/>
                <w:right w:val="none" w:sz="0" w:space="0" w:color="auto"/>
              </w:divBdr>
            </w:div>
            <w:div w:id="506948119">
              <w:marLeft w:val="0"/>
              <w:marRight w:val="0"/>
              <w:marTop w:val="0"/>
              <w:marBottom w:val="0"/>
              <w:divBdr>
                <w:top w:val="none" w:sz="0" w:space="0" w:color="auto"/>
                <w:left w:val="none" w:sz="0" w:space="0" w:color="auto"/>
                <w:bottom w:val="none" w:sz="0" w:space="0" w:color="auto"/>
                <w:right w:val="none" w:sz="0" w:space="0" w:color="auto"/>
              </w:divBdr>
            </w:div>
          </w:divsChild>
        </w:div>
        <w:div w:id="406340974">
          <w:marLeft w:val="0"/>
          <w:marRight w:val="0"/>
          <w:marTop w:val="0"/>
          <w:marBottom w:val="0"/>
          <w:divBdr>
            <w:top w:val="none" w:sz="0" w:space="0" w:color="auto"/>
            <w:left w:val="none" w:sz="0" w:space="0" w:color="auto"/>
            <w:bottom w:val="none" w:sz="0" w:space="0" w:color="auto"/>
            <w:right w:val="none" w:sz="0" w:space="0" w:color="auto"/>
          </w:divBdr>
          <w:divsChild>
            <w:div w:id="1494252410">
              <w:marLeft w:val="0"/>
              <w:marRight w:val="0"/>
              <w:marTop w:val="0"/>
              <w:marBottom w:val="0"/>
              <w:divBdr>
                <w:top w:val="none" w:sz="0" w:space="0" w:color="auto"/>
                <w:left w:val="none" w:sz="0" w:space="0" w:color="auto"/>
                <w:bottom w:val="none" w:sz="0" w:space="0" w:color="auto"/>
                <w:right w:val="none" w:sz="0" w:space="0" w:color="auto"/>
              </w:divBdr>
            </w:div>
          </w:divsChild>
        </w:div>
        <w:div w:id="438841989">
          <w:marLeft w:val="0"/>
          <w:marRight w:val="0"/>
          <w:marTop w:val="0"/>
          <w:marBottom w:val="0"/>
          <w:divBdr>
            <w:top w:val="none" w:sz="0" w:space="0" w:color="auto"/>
            <w:left w:val="none" w:sz="0" w:space="0" w:color="auto"/>
            <w:bottom w:val="none" w:sz="0" w:space="0" w:color="auto"/>
            <w:right w:val="none" w:sz="0" w:space="0" w:color="auto"/>
          </w:divBdr>
          <w:divsChild>
            <w:div w:id="687096811">
              <w:marLeft w:val="0"/>
              <w:marRight w:val="0"/>
              <w:marTop w:val="0"/>
              <w:marBottom w:val="0"/>
              <w:divBdr>
                <w:top w:val="none" w:sz="0" w:space="0" w:color="auto"/>
                <w:left w:val="none" w:sz="0" w:space="0" w:color="auto"/>
                <w:bottom w:val="none" w:sz="0" w:space="0" w:color="auto"/>
                <w:right w:val="none" w:sz="0" w:space="0" w:color="auto"/>
              </w:divBdr>
            </w:div>
          </w:divsChild>
        </w:div>
        <w:div w:id="480079581">
          <w:marLeft w:val="0"/>
          <w:marRight w:val="0"/>
          <w:marTop w:val="0"/>
          <w:marBottom w:val="0"/>
          <w:divBdr>
            <w:top w:val="none" w:sz="0" w:space="0" w:color="auto"/>
            <w:left w:val="none" w:sz="0" w:space="0" w:color="auto"/>
            <w:bottom w:val="none" w:sz="0" w:space="0" w:color="auto"/>
            <w:right w:val="none" w:sz="0" w:space="0" w:color="auto"/>
          </w:divBdr>
          <w:divsChild>
            <w:div w:id="1487285192">
              <w:marLeft w:val="0"/>
              <w:marRight w:val="0"/>
              <w:marTop w:val="0"/>
              <w:marBottom w:val="0"/>
              <w:divBdr>
                <w:top w:val="none" w:sz="0" w:space="0" w:color="auto"/>
                <w:left w:val="none" w:sz="0" w:space="0" w:color="auto"/>
                <w:bottom w:val="none" w:sz="0" w:space="0" w:color="auto"/>
                <w:right w:val="none" w:sz="0" w:space="0" w:color="auto"/>
              </w:divBdr>
            </w:div>
          </w:divsChild>
        </w:div>
        <w:div w:id="498882920">
          <w:marLeft w:val="0"/>
          <w:marRight w:val="0"/>
          <w:marTop w:val="0"/>
          <w:marBottom w:val="0"/>
          <w:divBdr>
            <w:top w:val="none" w:sz="0" w:space="0" w:color="auto"/>
            <w:left w:val="none" w:sz="0" w:space="0" w:color="auto"/>
            <w:bottom w:val="none" w:sz="0" w:space="0" w:color="auto"/>
            <w:right w:val="none" w:sz="0" w:space="0" w:color="auto"/>
          </w:divBdr>
          <w:divsChild>
            <w:div w:id="643584175">
              <w:marLeft w:val="0"/>
              <w:marRight w:val="0"/>
              <w:marTop w:val="0"/>
              <w:marBottom w:val="0"/>
              <w:divBdr>
                <w:top w:val="none" w:sz="0" w:space="0" w:color="auto"/>
                <w:left w:val="none" w:sz="0" w:space="0" w:color="auto"/>
                <w:bottom w:val="none" w:sz="0" w:space="0" w:color="auto"/>
                <w:right w:val="none" w:sz="0" w:space="0" w:color="auto"/>
              </w:divBdr>
            </w:div>
            <w:div w:id="1486699975">
              <w:marLeft w:val="0"/>
              <w:marRight w:val="0"/>
              <w:marTop w:val="0"/>
              <w:marBottom w:val="0"/>
              <w:divBdr>
                <w:top w:val="none" w:sz="0" w:space="0" w:color="auto"/>
                <w:left w:val="none" w:sz="0" w:space="0" w:color="auto"/>
                <w:bottom w:val="none" w:sz="0" w:space="0" w:color="auto"/>
                <w:right w:val="none" w:sz="0" w:space="0" w:color="auto"/>
              </w:divBdr>
            </w:div>
          </w:divsChild>
        </w:div>
        <w:div w:id="527572873">
          <w:marLeft w:val="0"/>
          <w:marRight w:val="0"/>
          <w:marTop w:val="0"/>
          <w:marBottom w:val="0"/>
          <w:divBdr>
            <w:top w:val="none" w:sz="0" w:space="0" w:color="auto"/>
            <w:left w:val="none" w:sz="0" w:space="0" w:color="auto"/>
            <w:bottom w:val="none" w:sz="0" w:space="0" w:color="auto"/>
            <w:right w:val="none" w:sz="0" w:space="0" w:color="auto"/>
          </w:divBdr>
          <w:divsChild>
            <w:div w:id="730883120">
              <w:marLeft w:val="0"/>
              <w:marRight w:val="0"/>
              <w:marTop w:val="0"/>
              <w:marBottom w:val="0"/>
              <w:divBdr>
                <w:top w:val="none" w:sz="0" w:space="0" w:color="auto"/>
                <w:left w:val="none" w:sz="0" w:space="0" w:color="auto"/>
                <w:bottom w:val="none" w:sz="0" w:space="0" w:color="auto"/>
                <w:right w:val="none" w:sz="0" w:space="0" w:color="auto"/>
              </w:divBdr>
            </w:div>
          </w:divsChild>
        </w:div>
        <w:div w:id="545947644">
          <w:marLeft w:val="0"/>
          <w:marRight w:val="0"/>
          <w:marTop w:val="0"/>
          <w:marBottom w:val="0"/>
          <w:divBdr>
            <w:top w:val="none" w:sz="0" w:space="0" w:color="auto"/>
            <w:left w:val="none" w:sz="0" w:space="0" w:color="auto"/>
            <w:bottom w:val="none" w:sz="0" w:space="0" w:color="auto"/>
            <w:right w:val="none" w:sz="0" w:space="0" w:color="auto"/>
          </w:divBdr>
          <w:divsChild>
            <w:div w:id="55397786">
              <w:marLeft w:val="0"/>
              <w:marRight w:val="0"/>
              <w:marTop w:val="0"/>
              <w:marBottom w:val="0"/>
              <w:divBdr>
                <w:top w:val="none" w:sz="0" w:space="0" w:color="auto"/>
                <w:left w:val="none" w:sz="0" w:space="0" w:color="auto"/>
                <w:bottom w:val="none" w:sz="0" w:space="0" w:color="auto"/>
                <w:right w:val="none" w:sz="0" w:space="0" w:color="auto"/>
              </w:divBdr>
            </w:div>
            <w:div w:id="1639190859">
              <w:marLeft w:val="0"/>
              <w:marRight w:val="0"/>
              <w:marTop w:val="0"/>
              <w:marBottom w:val="0"/>
              <w:divBdr>
                <w:top w:val="none" w:sz="0" w:space="0" w:color="auto"/>
                <w:left w:val="none" w:sz="0" w:space="0" w:color="auto"/>
                <w:bottom w:val="none" w:sz="0" w:space="0" w:color="auto"/>
                <w:right w:val="none" w:sz="0" w:space="0" w:color="auto"/>
              </w:divBdr>
            </w:div>
          </w:divsChild>
        </w:div>
        <w:div w:id="609361842">
          <w:marLeft w:val="0"/>
          <w:marRight w:val="0"/>
          <w:marTop w:val="0"/>
          <w:marBottom w:val="0"/>
          <w:divBdr>
            <w:top w:val="none" w:sz="0" w:space="0" w:color="auto"/>
            <w:left w:val="none" w:sz="0" w:space="0" w:color="auto"/>
            <w:bottom w:val="none" w:sz="0" w:space="0" w:color="auto"/>
            <w:right w:val="none" w:sz="0" w:space="0" w:color="auto"/>
          </w:divBdr>
          <w:divsChild>
            <w:div w:id="974870789">
              <w:marLeft w:val="0"/>
              <w:marRight w:val="0"/>
              <w:marTop w:val="0"/>
              <w:marBottom w:val="0"/>
              <w:divBdr>
                <w:top w:val="none" w:sz="0" w:space="0" w:color="auto"/>
                <w:left w:val="none" w:sz="0" w:space="0" w:color="auto"/>
                <w:bottom w:val="none" w:sz="0" w:space="0" w:color="auto"/>
                <w:right w:val="none" w:sz="0" w:space="0" w:color="auto"/>
              </w:divBdr>
            </w:div>
          </w:divsChild>
        </w:div>
        <w:div w:id="650984467">
          <w:marLeft w:val="0"/>
          <w:marRight w:val="0"/>
          <w:marTop w:val="0"/>
          <w:marBottom w:val="0"/>
          <w:divBdr>
            <w:top w:val="none" w:sz="0" w:space="0" w:color="auto"/>
            <w:left w:val="none" w:sz="0" w:space="0" w:color="auto"/>
            <w:bottom w:val="none" w:sz="0" w:space="0" w:color="auto"/>
            <w:right w:val="none" w:sz="0" w:space="0" w:color="auto"/>
          </w:divBdr>
          <w:divsChild>
            <w:div w:id="2025938995">
              <w:marLeft w:val="0"/>
              <w:marRight w:val="0"/>
              <w:marTop w:val="0"/>
              <w:marBottom w:val="0"/>
              <w:divBdr>
                <w:top w:val="none" w:sz="0" w:space="0" w:color="auto"/>
                <w:left w:val="none" w:sz="0" w:space="0" w:color="auto"/>
                <w:bottom w:val="none" w:sz="0" w:space="0" w:color="auto"/>
                <w:right w:val="none" w:sz="0" w:space="0" w:color="auto"/>
              </w:divBdr>
            </w:div>
          </w:divsChild>
        </w:div>
        <w:div w:id="659699333">
          <w:marLeft w:val="0"/>
          <w:marRight w:val="0"/>
          <w:marTop w:val="0"/>
          <w:marBottom w:val="0"/>
          <w:divBdr>
            <w:top w:val="none" w:sz="0" w:space="0" w:color="auto"/>
            <w:left w:val="none" w:sz="0" w:space="0" w:color="auto"/>
            <w:bottom w:val="none" w:sz="0" w:space="0" w:color="auto"/>
            <w:right w:val="none" w:sz="0" w:space="0" w:color="auto"/>
          </w:divBdr>
          <w:divsChild>
            <w:div w:id="618026982">
              <w:marLeft w:val="0"/>
              <w:marRight w:val="0"/>
              <w:marTop w:val="0"/>
              <w:marBottom w:val="0"/>
              <w:divBdr>
                <w:top w:val="none" w:sz="0" w:space="0" w:color="auto"/>
                <w:left w:val="none" w:sz="0" w:space="0" w:color="auto"/>
                <w:bottom w:val="none" w:sz="0" w:space="0" w:color="auto"/>
                <w:right w:val="none" w:sz="0" w:space="0" w:color="auto"/>
              </w:divBdr>
            </w:div>
          </w:divsChild>
        </w:div>
        <w:div w:id="712651602">
          <w:marLeft w:val="0"/>
          <w:marRight w:val="0"/>
          <w:marTop w:val="0"/>
          <w:marBottom w:val="0"/>
          <w:divBdr>
            <w:top w:val="none" w:sz="0" w:space="0" w:color="auto"/>
            <w:left w:val="none" w:sz="0" w:space="0" w:color="auto"/>
            <w:bottom w:val="none" w:sz="0" w:space="0" w:color="auto"/>
            <w:right w:val="none" w:sz="0" w:space="0" w:color="auto"/>
          </w:divBdr>
          <w:divsChild>
            <w:div w:id="610016532">
              <w:marLeft w:val="0"/>
              <w:marRight w:val="0"/>
              <w:marTop w:val="0"/>
              <w:marBottom w:val="0"/>
              <w:divBdr>
                <w:top w:val="none" w:sz="0" w:space="0" w:color="auto"/>
                <w:left w:val="none" w:sz="0" w:space="0" w:color="auto"/>
                <w:bottom w:val="none" w:sz="0" w:space="0" w:color="auto"/>
                <w:right w:val="none" w:sz="0" w:space="0" w:color="auto"/>
              </w:divBdr>
            </w:div>
          </w:divsChild>
        </w:div>
        <w:div w:id="778765447">
          <w:marLeft w:val="0"/>
          <w:marRight w:val="0"/>
          <w:marTop w:val="0"/>
          <w:marBottom w:val="0"/>
          <w:divBdr>
            <w:top w:val="none" w:sz="0" w:space="0" w:color="auto"/>
            <w:left w:val="none" w:sz="0" w:space="0" w:color="auto"/>
            <w:bottom w:val="none" w:sz="0" w:space="0" w:color="auto"/>
            <w:right w:val="none" w:sz="0" w:space="0" w:color="auto"/>
          </w:divBdr>
          <w:divsChild>
            <w:div w:id="583414502">
              <w:marLeft w:val="0"/>
              <w:marRight w:val="0"/>
              <w:marTop w:val="0"/>
              <w:marBottom w:val="0"/>
              <w:divBdr>
                <w:top w:val="none" w:sz="0" w:space="0" w:color="auto"/>
                <w:left w:val="none" w:sz="0" w:space="0" w:color="auto"/>
                <w:bottom w:val="none" w:sz="0" w:space="0" w:color="auto"/>
                <w:right w:val="none" w:sz="0" w:space="0" w:color="auto"/>
              </w:divBdr>
            </w:div>
          </w:divsChild>
        </w:div>
        <w:div w:id="889654207">
          <w:marLeft w:val="0"/>
          <w:marRight w:val="0"/>
          <w:marTop w:val="0"/>
          <w:marBottom w:val="0"/>
          <w:divBdr>
            <w:top w:val="none" w:sz="0" w:space="0" w:color="auto"/>
            <w:left w:val="none" w:sz="0" w:space="0" w:color="auto"/>
            <w:bottom w:val="none" w:sz="0" w:space="0" w:color="auto"/>
            <w:right w:val="none" w:sz="0" w:space="0" w:color="auto"/>
          </w:divBdr>
          <w:divsChild>
            <w:div w:id="176433463">
              <w:marLeft w:val="0"/>
              <w:marRight w:val="0"/>
              <w:marTop w:val="0"/>
              <w:marBottom w:val="0"/>
              <w:divBdr>
                <w:top w:val="none" w:sz="0" w:space="0" w:color="auto"/>
                <w:left w:val="none" w:sz="0" w:space="0" w:color="auto"/>
                <w:bottom w:val="none" w:sz="0" w:space="0" w:color="auto"/>
                <w:right w:val="none" w:sz="0" w:space="0" w:color="auto"/>
              </w:divBdr>
            </w:div>
          </w:divsChild>
        </w:div>
        <w:div w:id="927077512">
          <w:marLeft w:val="0"/>
          <w:marRight w:val="0"/>
          <w:marTop w:val="0"/>
          <w:marBottom w:val="0"/>
          <w:divBdr>
            <w:top w:val="none" w:sz="0" w:space="0" w:color="auto"/>
            <w:left w:val="none" w:sz="0" w:space="0" w:color="auto"/>
            <w:bottom w:val="none" w:sz="0" w:space="0" w:color="auto"/>
            <w:right w:val="none" w:sz="0" w:space="0" w:color="auto"/>
          </w:divBdr>
          <w:divsChild>
            <w:div w:id="1850362756">
              <w:marLeft w:val="0"/>
              <w:marRight w:val="0"/>
              <w:marTop w:val="0"/>
              <w:marBottom w:val="0"/>
              <w:divBdr>
                <w:top w:val="none" w:sz="0" w:space="0" w:color="auto"/>
                <w:left w:val="none" w:sz="0" w:space="0" w:color="auto"/>
                <w:bottom w:val="none" w:sz="0" w:space="0" w:color="auto"/>
                <w:right w:val="none" w:sz="0" w:space="0" w:color="auto"/>
              </w:divBdr>
            </w:div>
          </w:divsChild>
        </w:div>
        <w:div w:id="1158770997">
          <w:marLeft w:val="0"/>
          <w:marRight w:val="0"/>
          <w:marTop w:val="0"/>
          <w:marBottom w:val="0"/>
          <w:divBdr>
            <w:top w:val="none" w:sz="0" w:space="0" w:color="auto"/>
            <w:left w:val="none" w:sz="0" w:space="0" w:color="auto"/>
            <w:bottom w:val="none" w:sz="0" w:space="0" w:color="auto"/>
            <w:right w:val="none" w:sz="0" w:space="0" w:color="auto"/>
          </w:divBdr>
          <w:divsChild>
            <w:div w:id="950287126">
              <w:marLeft w:val="0"/>
              <w:marRight w:val="0"/>
              <w:marTop w:val="0"/>
              <w:marBottom w:val="0"/>
              <w:divBdr>
                <w:top w:val="none" w:sz="0" w:space="0" w:color="auto"/>
                <w:left w:val="none" w:sz="0" w:space="0" w:color="auto"/>
                <w:bottom w:val="none" w:sz="0" w:space="0" w:color="auto"/>
                <w:right w:val="none" w:sz="0" w:space="0" w:color="auto"/>
              </w:divBdr>
            </w:div>
          </w:divsChild>
        </w:div>
        <w:div w:id="1574271133">
          <w:marLeft w:val="0"/>
          <w:marRight w:val="0"/>
          <w:marTop w:val="0"/>
          <w:marBottom w:val="0"/>
          <w:divBdr>
            <w:top w:val="none" w:sz="0" w:space="0" w:color="auto"/>
            <w:left w:val="none" w:sz="0" w:space="0" w:color="auto"/>
            <w:bottom w:val="none" w:sz="0" w:space="0" w:color="auto"/>
            <w:right w:val="none" w:sz="0" w:space="0" w:color="auto"/>
          </w:divBdr>
          <w:divsChild>
            <w:div w:id="1107038448">
              <w:marLeft w:val="0"/>
              <w:marRight w:val="0"/>
              <w:marTop w:val="0"/>
              <w:marBottom w:val="0"/>
              <w:divBdr>
                <w:top w:val="none" w:sz="0" w:space="0" w:color="auto"/>
                <w:left w:val="none" w:sz="0" w:space="0" w:color="auto"/>
                <w:bottom w:val="none" w:sz="0" w:space="0" w:color="auto"/>
                <w:right w:val="none" w:sz="0" w:space="0" w:color="auto"/>
              </w:divBdr>
            </w:div>
          </w:divsChild>
        </w:div>
        <w:div w:id="1631327723">
          <w:marLeft w:val="0"/>
          <w:marRight w:val="0"/>
          <w:marTop w:val="0"/>
          <w:marBottom w:val="0"/>
          <w:divBdr>
            <w:top w:val="none" w:sz="0" w:space="0" w:color="auto"/>
            <w:left w:val="none" w:sz="0" w:space="0" w:color="auto"/>
            <w:bottom w:val="none" w:sz="0" w:space="0" w:color="auto"/>
            <w:right w:val="none" w:sz="0" w:space="0" w:color="auto"/>
          </w:divBdr>
          <w:divsChild>
            <w:div w:id="617682014">
              <w:marLeft w:val="0"/>
              <w:marRight w:val="0"/>
              <w:marTop w:val="0"/>
              <w:marBottom w:val="0"/>
              <w:divBdr>
                <w:top w:val="none" w:sz="0" w:space="0" w:color="auto"/>
                <w:left w:val="none" w:sz="0" w:space="0" w:color="auto"/>
                <w:bottom w:val="none" w:sz="0" w:space="0" w:color="auto"/>
                <w:right w:val="none" w:sz="0" w:space="0" w:color="auto"/>
              </w:divBdr>
            </w:div>
          </w:divsChild>
        </w:div>
        <w:div w:id="1653211613">
          <w:marLeft w:val="0"/>
          <w:marRight w:val="0"/>
          <w:marTop w:val="0"/>
          <w:marBottom w:val="0"/>
          <w:divBdr>
            <w:top w:val="none" w:sz="0" w:space="0" w:color="auto"/>
            <w:left w:val="none" w:sz="0" w:space="0" w:color="auto"/>
            <w:bottom w:val="none" w:sz="0" w:space="0" w:color="auto"/>
            <w:right w:val="none" w:sz="0" w:space="0" w:color="auto"/>
          </w:divBdr>
          <w:divsChild>
            <w:div w:id="253320027">
              <w:marLeft w:val="0"/>
              <w:marRight w:val="0"/>
              <w:marTop w:val="0"/>
              <w:marBottom w:val="0"/>
              <w:divBdr>
                <w:top w:val="none" w:sz="0" w:space="0" w:color="auto"/>
                <w:left w:val="none" w:sz="0" w:space="0" w:color="auto"/>
                <w:bottom w:val="none" w:sz="0" w:space="0" w:color="auto"/>
                <w:right w:val="none" w:sz="0" w:space="0" w:color="auto"/>
              </w:divBdr>
            </w:div>
          </w:divsChild>
        </w:div>
        <w:div w:id="1654598543">
          <w:marLeft w:val="0"/>
          <w:marRight w:val="0"/>
          <w:marTop w:val="0"/>
          <w:marBottom w:val="0"/>
          <w:divBdr>
            <w:top w:val="none" w:sz="0" w:space="0" w:color="auto"/>
            <w:left w:val="none" w:sz="0" w:space="0" w:color="auto"/>
            <w:bottom w:val="none" w:sz="0" w:space="0" w:color="auto"/>
            <w:right w:val="none" w:sz="0" w:space="0" w:color="auto"/>
          </w:divBdr>
          <w:divsChild>
            <w:div w:id="167910051">
              <w:marLeft w:val="0"/>
              <w:marRight w:val="0"/>
              <w:marTop w:val="0"/>
              <w:marBottom w:val="0"/>
              <w:divBdr>
                <w:top w:val="none" w:sz="0" w:space="0" w:color="auto"/>
                <w:left w:val="none" w:sz="0" w:space="0" w:color="auto"/>
                <w:bottom w:val="none" w:sz="0" w:space="0" w:color="auto"/>
                <w:right w:val="none" w:sz="0" w:space="0" w:color="auto"/>
              </w:divBdr>
            </w:div>
            <w:div w:id="2095517504">
              <w:marLeft w:val="0"/>
              <w:marRight w:val="0"/>
              <w:marTop w:val="0"/>
              <w:marBottom w:val="0"/>
              <w:divBdr>
                <w:top w:val="none" w:sz="0" w:space="0" w:color="auto"/>
                <w:left w:val="none" w:sz="0" w:space="0" w:color="auto"/>
                <w:bottom w:val="none" w:sz="0" w:space="0" w:color="auto"/>
                <w:right w:val="none" w:sz="0" w:space="0" w:color="auto"/>
              </w:divBdr>
            </w:div>
          </w:divsChild>
        </w:div>
        <w:div w:id="1684433975">
          <w:marLeft w:val="0"/>
          <w:marRight w:val="0"/>
          <w:marTop w:val="0"/>
          <w:marBottom w:val="0"/>
          <w:divBdr>
            <w:top w:val="none" w:sz="0" w:space="0" w:color="auto"/>
            <w:left w:val="none" w:sz="0" w:space="0" w:color="auto"/>
            <w:bottom w:val="none" w:sz="0" w:space="0" w:color="auto"/>
            <w:right w:val="none" w:sz="0" w:space="0" w:color="auto"/>
          </w:divBdr>
          <w:divsChild>
            <w:div w:id="1124539446">
              <w:marLeft w:val="0"/>
              <w:marRight w:val="0"/>
              <w:marTop w:val="0"/>
              <w:marBottom w:val="0"/>
              <w:divBdr>
                <w:top w:val="none" w:sz="0" w:space="0" w:color="auto"/>
                <w:left w:val="none" w:sz="0" w:space="0" w:color="auto"/>
                <w:bottom w:val="none" w:sz="0" w:space="0" w:color="auto"/>
                <w:right w:val="none" w:sz="0" w:space="0" w:color="auto"/>
              </w:divBdr>
            </w:div>
          </w:divsChild>
        </w:div>
        <w:div w:id="1754931941">
          <w:marLeft w:val="0"/>
          <w:marRight w:val="0"/>
          <w:marTop w:val="0"/>
          <w:marBottom w:val="0"/>
          <w:divBdr>
            <w:top w:val="none" w:sz="0" w:space="0" w:color="auto"/>
            <w:left w:val="none" w:sz="0" w:space="0" w:color="auto"/>
            <w:bottom w:val="none" w:sz="0" w:space="0" w:color="auto"/>
            <w:right w:val="none" w:sz="0" w:space="0" w:color="auto"/>
          </w:divBdr>
          <w:divsChild>
            <w:div w:id="649678583">
              <w:marLeft w:val="0"/>
              <w:marRight w:val="0"/>
              <w:marTop w:val="0"/>
              <w:marBottom w:val="0"/>
              <w:divBdr>
                <w:top w:val="none" w:sz="0" w:space="0" w:color="auto"/>
                <w:left w:val="none" w:sz="0" w:space="0" w:color="auto"/>
                <w:bottom w:val="none" w:sz="0" w:space="0" w:color="auto"/>
                <w:right w:val="none" w:sz="0" w:space="0" w:color="auto"/>
              </w:divBdr>
            </w:div>
          </w:divsChild>
        </w:div>
        <w:div w:id="1849253595">
          <w:marLeft w:val="0"/>
          <w:marRight w:val="0"/>
          <w:marTop w:val="0"/>
          <w:marBottom w:val="0"/>
          <w:divBdr>
            <w:top w:val="none" w:sz="0" w:space="0" w:color="auto"/>
            <w:left w:val="none" w:sz="0" w:space="0" w:color="auto"/>
            <w:bottom w:val="none" w:sz="0" w:space="0" w:color="auto"/>
            <w:right w:val="none" w:sz="0" w:space="0" w:color="auto"/>
          </w:divBdr>
          <w:divsChild>
            <w:div w:id="1092049539">
              <w:marLeft w:val="0"/>
              <w:marRight w:val="0"/>
              <w:marTop w:val="0"/>
              <w:marBottom w:val="0"/>
              <w:divBdr>
                <w:top w:val="none" w:sz="0" w:space="0" w:color="auto"/>
                <w:left w:val="none" w:sz="0" w:space="0" w:color="auto"/>
                <w:bottom w:val="none" w:sz="0" w:space="0" w:color="auto"/>
                <w:right w:val="none" w:sz="0" w:space="0" w:color="auto"/>
              </w:divBdr>
            </w:div>
          </w:divsChild>
        </w:div>
        <w:div w:id="1968320127">
          <w:marLeft w:val="0"/>
          <w:marRight w:val="0"/>
          <w:marTop w:val="0"/>
          <w:marBottom w:val="0"/>
          <w:divBdr>
            <w:top w:val="none" w:sz="0" w:space="0" w:color="auto"/>
            <w:left w:val="none" w:sz="0" w:space="0" w:color="auto"/>
            <w:bottom w:val="none" w:sz="0" w:space="0" w:color="auto"/>
            <w:right w:val="none" w:sz="0" w:space="0" w:color="auto"/>
          </w:divBdr>
          <w:divsChild>
            <w:div w:id="831485393">
              <w:marLeft w:val="0"/>
              <w:marRight w:val="0"/>
              <w:marTop w:val="0"/>
              <w:marBottom w:val="0"/>
              <w:divBdr>
                <w:top w:val="none" w:sz="0" w:space="0" w:color="auto"/>
                <w:left w:val="none" w:sz="0" w:space="0" w:color="auto"/>
                <w:bottom w:val="none" w:sz="0" w:space="0" w:color="auto"/>
                <w:right w:val="none" w:sz="0" w:space="0" w:color="auto"/>
              </w:divBdr>
            </w:div>
            <w:div w:id="1955014798">
              <w:marLeft w:val="0"/>
              <w:marRight w:val="0"/>
              <w:marTop w:val="0"/>
              <w:marBottom w:val="0"/>
              <w:divBdr>
                <w:top w:val="none" w:sz="0" w:space="0" w:color="auto"/>
                <w:left w:val="none" w:sz="0" w:space="0" w:color="auto"/>
                <w:bottom w:val="none" w:sz="0" w:space="0" w:color="auto"/>
                <w:right w:val="none" w:sz="0" w:space="0" w:color="auto"/>
              </w:divBdr>
            </w:div>
          </w:divsChild>
        </w:div>
        <w:div w:id="1973905649">
          <w:marLeft w:val="0"/>
          <w:marRight w:val="0"/>
          <w:marTop w:val="0"/>
          <w:marBottom w:val="0"/>
          <w:divBdr>
            <w:top w:val="none" w:sz="0" w:space="0" w:color="auto"/>
            <w:left w:val="none" w:sz="0" w:space="0" w:color="auto"/>
            <w:bottom w:val="none" w:sz="0" w:space="0" w:color="auto"/>
            <w:right w:val="none" w:sz="0" w:space="0" w:color="auto"/>
          </w:divBdr>
          <w:divsChild>
            <w:div w:id="190270130">
              <w:marLeft w:val="0"/>
              <w:marRight w:val="0"/>
              <w:marTop w:val="0"/>
              <w:marBottom w:val="0"/>
              <w:divBdr>
                <w:top w:val="none" w:sz="0" w:space="0" w:color="auto"/>
                <w:left w:val="none" w:sz="0" w:space="0" w:color="auto"/>
                <w:bottom w:val="none" w:sz="0" w:space="0" w:color="auto"/>
                <w:right w:val="none" w:sz="0" w:space="0" w:color="auto"/>
              </w:divBdr>
            </w:div>
            <w:div w:id="57995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8859">
      <w:bodyDiv w:val="1"/>
      <w:marLeft w:val="0"/>
      <w:marRight w:val="0"/>
      <w:marTop w:val="0"/>
      <w:marBottom w:val="0"/>
      <w:divBdr>
        <w:top w:val="none" w:sz="0" w:space="0" w:color="auto"/>
        <w:left w:val="none" w:sz="0" w:space="0" w:color="auto"/>
        <w:bottom w:val="none" w:sz="0" w:space="0" w:color="auto"/>
        <w:right w:val="none" w:sz="0" w:space="0" w:color="auto"/>
      </w:divBdr>
    </w:div>
    <w:div w:id="2101870804">
      <w:bodyDiv w:val="1"/>
      <w:marLeft w:val="0"/>
      <w:marRight w:val="0"/>
      <w:marTop w:val="0"/>
      <w:marBottom w:val="0"/>
      <w:divBdr>
        <w:top w:val="none" w:sz="0" w:space="0" w:color="auto"/>
        <w:left w:val="none" w:sz="0" w:space="0" w:color="auto"/>
        <w:bottom w:val="none" w:sz="0" w:space="0" w:color="auto"/>
        <w:right w:val="none" w:sz="0" w:space="0" w:color="auto"/>
      </w:divBdr>
      <w:divsChild>
        <w:div w:id="11549131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125692698">
      <w:bodyDiv w:val="1"/>
      <w:marLeft w:val="0"/>
      <w:marRight w:val="0"/>
      <w:marTop w:val="0"/>
      <w:marBottom w:val="0"/>
      <w:divBdr>
        <w:top w:val="none" w:sz="0" w:space="0" w:color="auto"/>
        <w:left w:val="none" w:sz="0" w:space="0" w:color="auto"/>
        <w:bottom w:val="none" w:sz="0" w:space="0" w:color="auto"/>
        <w:right w:val="none" w:sz="0" w:space="0" w:color="auto"/>
      </w:divBdr>
    </w:div>
    <w:div w:id="2128313881">
      <w:bodyDiv w:val="1"/>
      <w:marLeft w:val="0"/>
      <w:marRight w:val="0"/>
      <w:marTop w:val="0"/>
      <w:marBottom w:val="0"/>
      <w:divBdr>
        <w:top w:val="none" w:sz="0" w:space="0" w:color="auto"/>
        <w:left w:val="none" w:sz="0" w:space="0" w:color="auto"/>
        <w:bottom w:val="none" w:sz="0" w:space="0" w:color="auto"/>
        <w:right w:val="none" w:sz="0" w:space="0" w:color="auto"/>
      </w:divBdr>
    </w:div>
    <w:div w:id="214407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swa.gov.au" TargetMode="External"/><Relationship Id="rId26" Type="http://schemas.openxmlformats.org/officeDocument/2006/relationships/hyperlink" Target="https://www.safeworkaustralia.gov.au/privacy" TargetMode="External"/><Relationship Id="rId39" Type="http://schemas.openxmlformats.org/officeDocument/2006/relationships/fontTable" Target="fontTable.xml"/><Relationship Id="rId21" Type="http://schemas.openxmlformats.org/officeDocument/2006/relationships/header" Target="header5.xml"/><Relationship Id="rId34" Type="http://schemas.openxmlformats.org/officeDocument/2006/relationships/hyperlink" Target="https://www.safeworkaustralia.gov.au/glossary"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yperlink" Target="https://storage.googleapis.com/files-au-swa/safework/p/prj878fdc9180d91837651f6/page/Final_Discussion_paper_Crane_Licensing_Review.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highriskwork@swa.gov.au" TargetMode="External"/><Relationship Id="rId32" Type="http://schemas.openxmlformats.org/officeDocument/2006/relationships/hyperlink" Target="https://www.safeworkaustralia.gov.au/glossary" TargetMode="External"/><Relationship Id="rId37" Type="http://schemas.openxmlformats.org/officeDocument/2006/relationships/footer" Target="footer3.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yperlink" Target="https://consult.swa.gov.au/" TargetMode="External"/><Relationship Id="rId28" Type="http://schemas.openxmlformats.org/officeDocument/2006/relationships/image" Target="media/image10.png"/><Relationship Id="rId36"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yperlink" Target="http://swa.hosts.application.enet/business-support/Communication/Documents/www.swa.gov.au" TargetMode="External"/><Relationship Id="rId31" Type="http://schemas.openxmlformats.org/officeDocument/2006/relationships/hyperlink" Target="file://AGENCIES.application.enet/51000175/Corporate/National%20Strat%20Comms/Publications/MS%20Word%20Templates/2024%20Template%20update/Updated%20templates/Communication%20Team/consult.swa.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highriskwork@swa.gov.au" TargetMode="External"/><Relationship Id="rId30" Type="http://schemas.openxmlformats.org/officeDocument/2006/relationships/hyperlink" Target="https://consult.swa.gov.au/crane-licensing" TargetMode="External"/><Relationship Id="rId35" Type="http://schemas.openxmlformats.org/officeDocument/2006/relationships/header" Target="header7.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hyperlink" Target="https://consult.swa.gov.au/privacy-information" TargetMode="External"/><Relationship Id="rId33" Type="http://schemas.openxmlformats.org/officeDocument/2006/relationships/hyperlink" Target="https://www.safeworkaustralia.gov.au/glossary" TargetMode="External"/><Relationship Id="rId38" Type="http://schemas.openxmlformats.org/officeDocument/2006/relationships/header" Target="header9.xml"/></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ga.gov.au/scientific-topics/marine/jurisdiction/maritime-boundary-definition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6.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image" Target="media/image9.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DB913F025B4AFBA87A85C4C1E79D75"/>
        <w:category>
          <w:name w:val="General"/>
          <w:gallery w:val="placeholder"/>
        </w:category>
        <w:types>
          <w:type w:val="bbPlcHdr"/>
        </w:types>
        <w:behaviors>
          <w:behavior w:val="content"/>
        </w:behaviors>
        <w:guid w:val="{D6CE7488-5D52-49FB-A9B2-D669830AA030}"/>
      </w:docPartPr>
      <w:docPartBody>
        <w:p w:rsidR="00E152BB" w:rsidRDefault="00E152BB">
          <w:r w:rsidRPr="0083236F">
            <w:rPr>
              <w:rStyle w:val="PlaceholderText"/>
            </w:rPr>
            <w:t>[Title]</w:t>
          </w:r>
        </w:p>
      </w:docPartBody>
    </w:docPart>
    <w:docPart>
      <w:docPartPr>
        <w:name w:val="56AE43EB61A644F087D9171FEE162E92"/>
        <w:category>
          <w:name w:val="General"/>
          <w:gallery w:val="placeholder"/>
        </w:category>
        <w:types>
          <w:type w:val="bbPlcHdr"/>
        </w:types>
        <w:behaviors>
          <w:behavior w:val="content"/>
        </w:behaviors>
        <w:guid w:val="{0FC02103-3535-421B-8F40-294DFB3E7D54}"/>
      </w:docPartPr>
      <w:docPartBody>
        <w:p w:rsidR="00E152BB" w:rsidRDefault="00E152BB" w:rsidP="00E152BB">
          <w:pPr>
            <w:pStyle w:val="56AE43EB61A644F087D9171FEE162E92"/>
          </w:pPr>
          <w:r w:rsidRPr="008323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2BB"/>
    <w:rsid w:val="00004DA1"/>
    <w:rsid w:val="00007492"/>
    <w:rsid w:val="00015B71"/>
    <w:rsid w:val="00020978"/>
    <w:rsid w:val="00021C1C"/>
    <w:rsid w:val="0002326E"/>
    <w:rsid w:val="00024D2C"/>
    <w:rsid w:val="00025F3F"/>
    <w:rsid w:val="0002735D"/>
    <w:rsid w:val="00043D3C"/>
    <w:rsid w:val="00050ED1"/>
    <w:rsid w:val="00063580"/>
    <w:rsid w:val="00064FFE"/>
    <w:rsid w:val="0006707D"/>
    <w:rsid w:val="000820C8"/>
    <w:rsid w:val="00086E50"/>
    <w:rsid w:val="000A15C3"/>
    <w:rsid w:val="000A29A8"/>
    <w:rsid w:val="000C5210"/>
    <w:rsid w:val="000C595F"/>
    <w:rsid w:val="000D4B9B"/>
    <w:rsid w:val="000E4A79"/>
    <w:rsid w:val="00100322"/>
    <w:rsid w:val="001012D3"/>
    <w:rsid w:val="00113D34"/>
    <w:rsid w:val="001225FD"/>
    <w:rsid w:val="00132DAA"/>
    <w:rsid w:val="001332C1"/>
    <w:rsid w:val="00146B53"/>
    <w:rsid w:val="0015146A"/>
    <w:rsid w:val="00161883"/>
    <w:rsid w:val="001670B6"/>
    <w:rsid w:val="0017044B"/>
    <w:rsid w:val="001706CF"/>
    <w:rsid w:val="001741C7"/>
    <w:rsid w:val="0019216A"/>
    <w:rsid w:val="0019445D"/>
    <w:rsid w:val="001A4366"/>
    <w:rsid w:val="001A6043"/>
    <w:rsid w:val="001A64A7"/>
    <w:rsid w:val="001A7AB1"/>
    <w:rsid w:val="001B3CBD"/>
    <w:rsid w:val="001B440E"/>
    <w:rsid w:val="001C08A5"/>
    <w:rsid w:val="001C46A8"/>
    <w:rsid w:val="001D7589"/>
    <w:rsid w:val="001E1A24"/>
    <w:rsid w:val="001E3DCC"/>
    <w:rsid w:val="001E5E59"/>
    <w:rsid w:val="001F3F2E"/>
    <w:rsid w:val="001F6DD9"/>
    <w:rsid w:val="00202CE0"/>
    <w:rsid w:val="00204545"/>
    <w:rsid w:val="00205D5E"/>
    <w:rsid w:val="00215482"/>
    <w:rsid w:val="00215701"/>
    <w:rsid w:val="002236CC"/>
    <w:rsid w:val="00236110"/>
    <w:rsid w:val="00237E28"/>
    <w:rsid w:val="00252BC5"/>
    <w:rsid w:val="00253CFA"/>
    <w:rsid w:val="00255265"/>
    <w:rsid w:val="002808A5"/>
    <w:rsid w:val="00297DFA"/>
    <w:rsid w:val="002B16F2"/>
    <w:rsid w:val="002B6E95"/>
    <w:rsid w:val="002E0FBD"/>
    <w:rsid w:val="002E7337"/>
    <w:rsid w:val="002F0A07"/>
    <w:rsid w:val="002F37E3"/>
    <w:rsid w:val="00300794"/>
    <w:rsid w:val="003105F3"/>
    <w:rsid w:val="003113E8"/>
    <w:rsid w:val="003130FB"/>
    <w:rsid w:val="00313E89"/>
    <w:rsid w:val="0032430C"/>
    <w:rsid w:val="00333C6F"/>
    <w:rsid w:val="00335CA6"/>
    <w:rsid w:val="00336C25"/>
    <w:rsid w:val="00342E4A"/>
    <w:rsid w:val="00346D16"/>
    <w:rsid w:val="00351481"/>
    <w:rsid w:val="00351EB8"/>
    <w:rsid w:val="00373CF4"/>
    <w:rsid w:val="00377273"/>
    <w:rsid w:val="003851C5"/>
    <w:rsid w:val="0038642E"/>
    <w:rsid w:val="0039659E"/>
    <w:rsid w:val="003A0ADB"/>
    <w:rsid w:val="003D5DDA"/>
    <w:rsid w:val="003D77AD"/>
    <w:rsid w:val="003E21EA"/>
    <w:rsid w:val="003E758A"/>
    <w:rsid w:val="003F21F0"/>
    <w:rsid w:val="003F5B9A"/>
    <w:rsid w:val="003F600C"/>
    <w:rsid w:val="00402CD2"/>
    <w:rsid w:val="00404C88"/>
    <w:rsid w:val="00405A3B"/>
    <w:rsid w:val="004239A0"/>
    <w:rsid w:val="00446A31"/>
    <w:rsid w:val="00456918"/>
    <w:rsid w:val="0046029D"/>
    <w:rsid w:val="0048536A"/>
    <w:rsid w:val="00495B95"/>
    <w:rsid w:val="004B4B94"/>
    <w:rsid w:val="004D1749"/>
    <w:rsid w:val="004D1BA3"/>
    <w:rsid w:val="004E15C2"/>
    <w:rsid w:val="004E2F18"/>
    <w:rsid w:val="005022A2"/>
    <w:rsid w:val="00535B14"/>
    <w:rsid w:val="00546DBA"/>
    <w:rsid w:val="005568E8"/>
    <w:rsid w:val="0056426F"/>
    <w:rsid w:val="00586460"/>
    <w:rsid w:val="00587CFB"/>
    <w:rsid w:val="00591A7D"/>
    <w:rsid w:val="005962F3"/>
    <w:rsid w:val="005963FA"/>
    <w:rsid w:val="005A6B63"/>
    <w:rsid w:val="005A7961"/>
    <w:rsid w:val="005B1062"/>
    <w:rsid w:val="005B668E"/>
    <w:rsid w:val="005B7A9A"/>
    <w:rsid w:val="005C0E5F"/>
    <w:rsid w:val="005C7701"/>
    <w:rsid w:val="005D6ECC"/>
    <w:rsid w:val="005D7F12"/>
    <w:rsid w:val="005E14F1"/>
    <w:rsid w:val="005E7A0E"/>
    <w:rsid w:val="005F4BC3"/>
    <w:rsid w:val="006042A9"/>
    <w:rsid w:val="00612452"/>
    <w:rsid w:val="006509D4"/>
    <w:rsid w:val="006573F7"/>
    <w:rsid w:val="00661479"/>
    <w:rsid w:val="00661B49"/>
    <w:rsid w:val="0067645C"/>
    <w:rsid w:val="00676614"/>
    <w:rsid w:val="00676E4D"/>
    <w:rsid w:val="006779F6"/>
    <w:rsid w:val="00681D2F"/>
    <w:rsid w:val="00692C61"/>
    <w:rsid w:val="00695969"/>
    <w:rsid w:val="006A36A2"/>
    <w:rsid w:val="006A56C2"/>
    <w:rsid w:val="006B0A0F"/>
    <w:rsid w:val="006C52B9"/>
    <w:rsid w:val="006D6D38"/>
    <w:rsid w:val="006D7294"/>
    <w:rsid w:val="006E67B3"/>
    <w:rsid w:val="006F3647"/>
    <w:rsid w:val="006F6501"/>
    <w:rsid w:val="007075CC"/>
    <w:rsid w:val="00711E1F"/>
    <w:rsid w:val="007158F2"/>
    <w:rsid w:val="007371DF"/>
    <w:rsid w:val="00737C3F"/>
    <w:rsid w:val="0074369D"/>
    <w:rsid w:val="007537A3"/>
    <w:rsid w:val="00757E75"/>
    <w:rsid w:val="007614CB"/>
    <w:rsid w:val="0077360A"/>
    <w:rsid w:val="00774276"/>
    <w:rsid w:val="007769FD"/>
    <w:rsid w:val="00790BC2"/>
    <w:rsid w:val="00797A1A"/>
    <w:rsid w:val="007B0F14"/>
    <w:rsid w:val="007B2C10"/>
    <w:rsid w:val="007C4232"/>
    <w:rsid w:val="007C4837"/>
    <w:rsid w:val="007D5EE8"/>
    <w:rsid w:val="00802568"/>
    <w:rsid w:val="008033DC"/>
    <w:rsid w:val="00815BC0"/>
    <w:rsid w:val="00825B24"/>
    <w:rsid w:val="00830178"/>
    <w:rsid w:val="00836490"/>
    <w:rsid w:val="00836CB5"/>
    <w:rsid w:val="00836DDE"/>
    <w:rsid w:val="00837872"/>
    <w:rsid w:val="00864F9A"/>
    <w:rsid w:val="00866347"/>
    <w:rsid w:val="00871410"/>
    <w:rsid w:val="00880D00"/>
    <w:rsid w:val="00895C6D"/>
    <w:rsid w:val="008A3D26"/>
    <w:rsid w:val="008A4E86"/>
    <w:rsid w:val="008A5D5F"/>
    <w:rsid w:val="008C73AA"/>
    <w:rsid w:val="008E02B1"/>
    <w:rsid w:val="008F3072"/>
    <w:rsid w:val="008F6E08"/>
    <w:rsid w:val="00902998"/>
    <w:rsid w:val="009157F0"/>
    <w:rsid w:val="00916728"/>
    <w:rsid w:val="0093139D"/>
    <w:rsid w:val="009477DB"/>
    <w:rsid w:val="00952F4A"/>
    <w:rsid w:val="009536E8"/>
    <w:rsid w:val="00956A12"/>
    <w:rsid w:val="0096098A"/>
    <w:rsid w:val="0096155A"/>
    <w:rsid w:val="009651EE"/>
    <w:rsid w:val="00966F1B"/>
    <w:rsid w:val="009734D0"/>
    <w:rsid w:val="009757B1"/>
    <w:rsid w:val="009769C8"/>
    <w:rsid w:val="00980CBE"/>
    <w:rsid w:val="009866D0"/>
    <w:rsid w:val="00992E3A"/>
    <w:rsid w:val="00993DF5"/>
    <w:rsid w:val="00995FEE"/>
    <w:rsid w:val="009A2BCC"/>
    <w:rsid w:val="009A60B1"/>
    <w:rsid w:val="009B42BA"/>
    <w:rsid w:val="009B6DCD"/>
    <w:rsid w:val="009B7D74"/>
    <w:rsid w:val="009C6BF9"/>
    <w:rsid w:val="009F11AD"/>
    <w:rsid w:val="009F2F47"/>
    <w:rsid w:val="00A273E9"/>
    <w:rsid w:val="00A3671B"/>
    <w:rsid w:val="00A617B6"/>
    <w:rsid w:val="00A634C1"/>
    <w:rsid w:val="00AB509E"/>
    <w:rsid w:val="00AC352F"/>
    <w:rsid w:val="00AE5FF6"/>
    <w:rsid w:val="00AF1CD0"/>
    <w:rsid w:val="00AF3A6E"/>
    <w:rsid w:val="00AF482F"/>
    <w:rsid w:val="00B00CD4"/>
    <w:rsid w:val="00B02E74"/>
    <w:rsid w:val="00B135F6"/>
    <w:rsid w:val="00B30CEC"/>
    <w:rsid w:val="00B3397D"/>
    <w:rsid w:val="00B346A3"/>
    <w:rsid w:val="00B34D9A"/>
    <w:rsid w:val="00B37EDA"/>
    <w:rsid w:val="00B42CE1"/>
    <w:rsid w:val="00B43EA3"/>
    <w:rsid w:val="00B509EB"/>
    <w:rsid w:val="00B5384B"/>
    <w:rsid w:val="00B601BE"/>
    <w:rsid w:val="00B644FC"/>
    <w:rsid w:val="00B92EA6"/>
    <w:rsid w:val="00BA0B3D"/>
    <w:rsid w:val="00BC2E08"/>
    <w:rsid w:val="00BC36AE"/>
    <w:rsid w:val="00BE6B81"/>
    <w:rsid w:val="00BF475E"/>
    <w:rsid w:val="00BF6EED"/>
    <w:rsid w:val="00C0034E"/>
    <w:rsid w:val="00C019D1"/>
    <w:rsid w:val="00C12C57"/>
    <w:rsid w:val="00C12C88"/>
    <w:rsid w:val="00C16F9E"/>
    <w:rsid w:val="00C31A49"/>
    <w:rsid w:val="00C638B3"/>
    <w:rsid w:val="00C7038D"/>
    <w:rsid w:val="00C768B3"/>
    <w:rsid w:val="00C805D0"/>
    <w:rsid w:val="00C87D49"/>
    <w:rsid w:val="00C91638"/>
    <w:rsid w:val="00C9492E"/>
    <w:rsid w:val="00CA116C"/>
    <w:rsid w:val="00CA4AE0"/>
    <w:rsid w:val="00CB08D6"/>
    <w:rsid w:val="00CB2A97"/>
    <w:rsid w:val="00CC3D83"/>
    <w:rsid w:val="00CC7CC5"/>
    <w:rsid w:val="00CE4F67"/>
    <w:rsid w:val="00D05CC7"/>
    <w:rsid w:val="00D0633B"/>
    <w:rsid w:val="00D22FDC"/>
    <w:rsid w:val="00D33193"/>
    <w:rsid w:val="00D41752"/>
    <w:rsid w:val="00D41F89"/>
    <w:rsid w:val="00D43504"/>
    <w:rsid w:val="00D45780"/>
    <w:rsid w:val="00D65629"/>
    <w:rsid w:val="00D87AFA"/>
    <w:rsid w:val="00D90968"/>
    <w:rsid w:val="00D90AEC"/>
    <w:rsid w:val="00DA0EAD"/>
    <w:rsid w:val="00DA0FDF"/>
    <w:rsid w:val="00DA3C2B"/>
    <w:rsid w:val="00DB4096"/>
    <w:rsid w:val="00DB751A"/>
    <w:rsid w:val="00DB7E4F"/>
    <w:rsid w:val="00DC55B2"/>
    <w:rsid w:val="00DD0B17"/>
    <w:rsid w:val="00DD377D"/>
    <w:rsid w:val="00DD3844"/>
    <w:rsid w:val="00DE0303"/>
    <w:rsid w:val="00DF15A7"/>
    <w:rsid w:val="00DF259C"/>
    <w:rsid w:val="00E01466"/>
    <w:rsid w:val="00E04FA6"/>
    <w:rsid w:val="00E14B0F"/>
    <w:rsid w:val="00E152BB"/>
    <w:rsid w:val="00E36B40"/>
    <w:rsid w:val="00E4288F"/>
    <w:rsid w:val="00E5190B"/>
    <w:rsid w:val="00E67F37"/>
    <w:rsid w:val="00E70BA5"/>
    <w:rsid w:val="00E74618"/>
    <w:rsid w:val="00E77E2F"/>
    <w:rsid w:val="00E84CCF"/>
    <w:rsid w:val="00E96754"/>
    <w:rsid w:val="00EA2BC3"/>
    <w:rsid w:val="00EA3F43"/>
    <w:rsid w:val="00EE02A3"/>
    <w:rsid w:val="00EE698B"/>
    <w:rsid w:val="00F067B6"/>
    <w:rsid w:val="00F408F1"/>
    <w:rsid w:val="00F55368"/>
    <w:rsid w:val="00F56C18"/>
    <w:rsid w:val="00F60E19"/>
    <w:rsid w:val="00F85EF7"/>
    <w:rsid w:val="00F9243B"/>
    <w:rsid w:val="00F9613F"/>
    <w:rsid w:val="00FA6563"/>
    <w:rsid w:val="00FC0175"/>
    <w:rsid w:val="00FC705C"/>
    <w:rsid w:val="00FC7E0E"/>
    <w:rsid w:val="00FD4A81"/>
    <w:rsid w:val="00FE0F57"/>
    <w:rsid w:val="00FE41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52BB"/>
    <w:rPr>
      <w:color w:val="666666"/>
    </w:rPr>
  </w:style>
  <w:style w:type="paragraph" w:customStyle="1" w:styleId="56AE43EB61A644F087D9171FEE162E92">
    <w:name w:val="56AE43EB61A644F087D9171FEE162E92"/>
    <w:rsid w:val="00E152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2B0A99"/>
      </a:dk2>
      <a:lt2>
        <a:srgbClr val="E7E6E6"/>
      </a:lt2>
      <a:accent1>
        <a:srgbClr val="4877E0"/>
      </a:accent1>
      <a:accent2>
        <a:srgbClr val="EB9C3A"/>
      </a:accent2>
      <a:accent3>
        <a:srgbClr val="E80C30"/>
      </a:accent3>
      <a:accent4>
        <a:srgbClr val="490C61"/>
      </a:accent4>
      <a:accent5>
        <a:srgbClr val="071544"/>
      </a:accent5>
      <a:accent6>
        <a:srgbClr val="A5A5A5"/>
      </a:accent6>
      <a:hlink>
        <a:srgbClr val="4877E0"/>
      </a:hlink>
      <a:folHlink>
        <a:srgbClr val="E80C3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19e602-c650-4316-a3a7-10b2921f6c05">
      <Terms xmlns="http://schemas.microsoft.com/office/infopath/2007/PartnerControls"/>
    </lcf76f155ced4ddcb4097134ff3c332f>
    <Templatetype xmlns="5019e602-c650-4316-a3a7-10b2921f6c05">External</Templatetype>
    <TaxCatchAll xmlns="2b6b1ac6-3da4-4973-8589-218893d1bb98" xsi:nil="true"/>
    <_dlc_DocId xmlns="2b6b1ac6-3da4-4973-8589-218893d1bb98">SWABUSNISUPRT-2026640480-280</_dlc_DocId>
    <_dlc_DocIdUrl xmlns="2b6b1ac6-3da4-4973-8589-218893d1bb98">
      <Url>https://sharedservicescentre.sharepoint.com/sites/swa-businesssupport/_layouts/15/DocIdRedir.aspx?ID=SWABUSNISUPRT-2026640480-280</Url>
      <Description>SWABUSNISUPRT-2026640480-280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BD7BA60FBAA408748C89ED6BBDBE7" ma:contentTypeVersion="51" ma:contentTypeDescription="Create a new document." ma:contentTypeScope="" ma:versionID="68c0e96b1aeacc922dd2f38f738a5b03">
  <xsd:schema xmlns:xsd="http://www.w3.org/2001/XMLSchema" xmlns:xs="http://www.w3.org/2001/XMLSchema" xmlns:p="http://schemas.microsoft.com/office/2006/metadata/properties" xmlns:ns2="2b6b1ac6-3da4-4973-8589-218893d1bb98" xmlns:ns3="5019e602-c650-4316-a3a7-10b2921f6c05" targetNamespace="http://schemas.microsoft.com/office/2006/metadata/properties" ma:root="true" ma:fieldsID="a8e5a532034035531f431c4c70a10577" ns2:_="" ns3:_="">
    <xsd:import namespace="2b6b1ac6-3da4-4973-8589-218893d1bb98"/>
    <xsd:import namespace="5019e602-c650-4316-a3a7-10b2921f6c0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Templat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b1ac6-3da4-4973-8589-218893d1bb9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fc0401a-5d8e-4cb2-801b-1275789aaeb2}" ma:internalName="TaxCatchAll" ma:showField="CatchAllData" ma:web="2b6b1ac6-3da4-4973-8589-218893d1bb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19e602-c650-4316-a3a7-10b2921f6c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Templatetype" ma:index="27" nillable="true" ma:displayName="Template type" ma:format="Dropdown" ma:internalName="Templatetype">
      <xsd:simpleType>
        <xsd:restriction base="dms:Choice">
          <xsd:enumeration value="External"/>
          <xsd:enumeration value="Internal"/>
          <xsd:enumeration value="CEO and Chair"/>
          <xsd:enumeration value="Log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B5BE502-4300-404F-9CC2-B7D533E70798}">
  <ds:schemaRefs>
    <ds:schemaRef ds:uri="http://schemas.openxmlformats.org/officeDocument/2006/bibliography"/>
  </ds:schemaRefs>
</ds:datastoreItem>
</file>

<file path=customXml/itemProps2.xml><?xml version="1.0" encoding="utf-8"?>
<ds:datastoreItem xmlns:ds="http://schemas.openxmlformats.org/officeDocument/2006/customXml" ds:itemID="{1CAE9C0D-FC1D-4C12-A4AE-A09E9D6BA03E}">
  <ds:schemaRefs>
    <ds:schemaRef ds:uri="http://schemas.microsoft.com/office/2006/metadata/properties"/>
    <ds:schemaRef ds:uri="http://schemas.microsoft.com/office/infopath/2007/PartnerControls"/>
    <ds:schemaRef ds:uri="5019e602-c650-4316-a3a7-10b2921f6c05"/>
    <ds:schemaRef ds:uri="2b6b1ac6-3da4-4973-8589-218893d1bb98"/>
  </ds:schemaRefs>
</ds:datastoreItem>
</file>

<file path=customXml/itemProps3.xml><?xml version="1.0" encoding="utf-8"?>
<ds:datastoreItem xmlns:ds="http://schemas.openxmlformats.org/officeDocument/2006/customXml" ds:itemID="{C9D8B6C9-357A-46DE-A513-AF2D97B6A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b1ac6-3da4-4973-8589-218893d1bb98"/>
    <ds:schemaRef ds:uri="5019e602-c650-4316-a3a7-10b2921f6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599E7-8C3C-4FE9-8287-A5AA1E78881F}">
  <ds:schemaRefs>
    <ds:schemaRef ds:uri="http://schemas.microsoft.com/sharepoint/v3/contenttype/forms"/>
  </ds:schemaRefs>
</ds:datastoreItem>
</file>

<file path=customXml/itemProps5.xml><?xml version="1.0" encoding="utf-8"?>
<ds:datastoreItem xmlns:ds="http://schemas.openxmlformats.org/officeDocument/2006/customXml" ds:itemID="{9C88F17E-FB6A-4E6D-B21D-3084A3CF7BA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10434</Words>
  <Characters>60417</Characters>
  <Application>Microsoft Office Word</Application>
  <DocSecurity>0</DocSecurity>
  <Lines>1139</Lines>
  <Paragraphs>513</Paragraphs>
  <ScaleCrop>false</ScaleCrop>
  <HeadingPairs>
    <vt:vector size="2" baseType="variant">
      <vt:variant>
        <vt:lpstr>Title</vt:lpstr>
      </vt:variant>
      <vt:variant>
        <vt:i4>1</vt:i4>
      </vt:variant>
    </vt:vector>
  </HeadingPairs>
  <TitlesOfParts>
    <vt:vector size="1" baseType="lpstr">
      <vt:lpstr>Improving the safety of crane operations in the maritime sector</vt:lpstr>
    </vt:vector>
  </TitlesOfParts>
  <Company/>
  <LinksUpToDate>false</LinksUpToDate>
  <CharactersWithSpaces>70338</CharactersWithSpaces>
  <SharedDoc>false</SharedDoc>
  <HLinks>
    <vt:vector size="510" baseType="variant">
      <vt:variant>
        <vt:i4>4390912</vt:i4>
      </vt:variant>
      <vt:variant>
        <vt:i4>285</vt:i4>
      </vt:variant>
      <vt:variant>
        <vt:i4>0</vt:i4>
      </vt:variant>
      <vt:variant>
        <vt:i4>5</vt:i4>
      </vt:variant>
      <vt:variant>
        <vt:lpwstr>https://www.safeworkaustralia.gov.au/law-and-regulation/model-whs-laws/national-compliance-and-enforcement-policy</vt:lpwstr>
      </vt:variant>
      <vt:variant>
        <vt:lpwstr/>
      </vt:variant>
      <vt:variant>
        <vt:i4>3997746</vt:i4>
      </vt:variant>
      <vt:variant>
        <vt:i4>282</vt:i4>
      </vt:variant>
      <vt:variant>
        <vt:i4>0</vt:i4>
      </vt:variant>
      <vt:variant>
        <vt:i4>5</vt:i4>
      </vt:variant>
      <vt:variant>
        <vt:lpwstr>https://content-v2.api.worksafe.vic.gov.au/sites/default/files/2022-10/ISBN-Incident-notification-form-2022-10.pdf</vt:lpwstr>
      </vt:variant>
      <vt:variant>
        <vt:lpwstr/>
      </vt:variant>
      <vt:variant>
        <vt:i4>1900568</vt:i4>
      </vt:variant>
      <vt:variant>
        <vt:i4>279</vt:i4>
      </vt:variant>
      <vt:variant>
        <vt:i4>0</vt:i4>
      </vt:variant>
      <vt:variant>
        <vt:i4>5</vt:i4>
      </vt:variant>
      <vt:variant>
        <vt:lpwstr>https://www.comcare.gov.au/about/forms-publications/documents/forms/safety-and-prevention/incident-notification-form.pdf</vt:lpwstr>
      </vt:variant>
      <vt:variant>
        <vt:lpwstr/>
      </vt:variant>
      <vt:variant>
        <vt:i4>7995440</vt:i4>
      </vt:variant>
      <vt:variant>
        <vt:i4>276</vt:i4>
      </vt:variant>
      <vt:variant>
        <vt:i4>0</vt:i4>
      </vt:variant>
      <vt:variant>
        <vt:i4>5</vt:i4>
      </vt:variant>
      <vt:variant>
        <vt:lpwstr>https://employee.forms.comcare.gov.au/Produce/wizard/de25f9aa-4a28-4140-b0bb-786dd8b9eaee/</vt:lpwstr>
      </vt:variant>
      <vt:variant>
        <vt:lpwstr/>
      </vt:variant>
      <vt:variant>
        <vt:i4>589934</vt:i4>
      </vt:variant>
      <vt:variant>
        <vt:i4>273</vt:i4>
      </vt:variant>
      <vt:variant>
        <vt:i4>0</vt:i4>
      </vt:variant>
      <vt:variant>
        <vt:i4>5</vt:i4>
      </vt:variant>
      <vt:variant>
        <vt:lpwstr>https://www.worksafe.act.gov.au/__data/assets/pdf_file/0006/1807314/Notifiable-Incident-Report-Form-.pdf</vt:lpwstr>
      </vt:variant>
      <vt:variant>
        <vt:lpwstr/>
      </vt:variant>
      <vt:variant>
        <vt:i4>3407990</vt:i4>
      </vt:variant>
      <vt:variant>
        <vt:i4>270</vt:i4>
      </vt:variant>
      <vt:variant>
        <vt:i4>0</vt:i4>
      </vt:variant>
      <vt:variant>
        <vt:i4>5</vt:i4>
      </vt:variant>
      <vt:variant>
        <vt:lpwstr>https://worksafe.nt.gov.au/forms-and-resources/forms/incident-notification-form</vt:lpwstr>
      </vt:variant>
      <vt:variant>
        <vt:lpwstr/>
      </vt:variant>
      <vt:variant>
        <vt:i4>6488186</vt:i4>
      </vt:variant>
      <vt:variant>
        <vt:i4>267</vt:i4>
      </vt:variant>
      <vt:variant>
        <vt:i4>0</vt:i4>
      </vt:variant>
      <vt:variant>
        <vt:i4>5</vt:i4>
      </vt:variant>
      <vt:variant>
        <vt:lpwstr>https://forms.nt.gov.au/Produce/Form/Public/NT WorkSafe incident notification/</vt:lpwstr>
      </vt:variant>
      <vt:variant>
        <vt:lpwstr/>
      </vt:variant>
      <vt:variant>
        <vt:i4>2359351</vt:i4>
      </vt:variant>
      <vt:variant>
        <vt:i4>264</vt:i4>
      </vt:variant>
      <vt:variant>
        <vt:i4>0</vt:i4>
      </vt:variant>
      <vt:variant>
        <vt:i4>5</vt:i4>
      </vt:variant>
      <vt:variant>
        <vt:lpwstr>https://wise.commerce.wa.gov.au/wise-online/noi</vt:lpwstr>
      </vt:variant>
      <vt:variant>
        <vt:lpwstr/>
      </vt:variant>
      <vt:variant>
        <vt:i4>3080247</vt:i4>
      </vt:variant>
      <vt:variant>
        <vt:i4>261</vt:i4>
      </vt:variant>
      <vt:variant>
        <vt:i4>0</vt:i4>
      </vt:variant>
      <vt:variant>
        <vt:i4>5</vt:i4>
      </vt:variant>
      <vt:variant>
        <vt:lpwstr>https://wise.commerce.wa.gov.au/wise-online/ndi</vt:lpwstr>
      </vt:variant>
      <vt:variant>
        <vt:lpwstr/>
      </vt:variant>
      <vt:variant>
        <vt:i4>3276856</vt:i4>
      </vt:variant>
      <vt:variant>
        <vt:i4>258</vt:i4>
      </vt:variant>
      <vt:variant>
        <vt:i4>0</vt:i4>
      </vt:variant>
      <vt:variant>
        <vt:i4>5</vt:i4>
      </vt:variant>
      <vt:variant>
        <vt:lpwstr>https://forms.sa.gov.au/</vt:lpwstr>
      </vt:variant>
      <vt:variant>
        <vt:lpwstr>/form/5ad00ae5ad9c5a4f3c4fe2d8</vt:lpwstr>
      </vt:variant>
      <vt:variant>
        <vt:i4>2359344</vt:i4>
      </vt:variant>
      <vt:variant>
        <vt:i4>255</vt:i4>
      </vt:variant>
      <vt:variant>
        <vt:i4>0</vt:i4>
      </vt:variant>
      <vt:variant>
        <vt:i4>5</vt:i4>
      </vt:variant>
      <vt:variant>
        <vt:lpwstr>https://incident.worksafe.tas.gov.au/start</vt:lpwstr>
      </vt:variant>
      <vt:variant>
        <vt:lpwstr/>
      </vt:variant>
      <vt:variant>
        <vt:i4>8257579</vt:i4>
      </vt:variant>
      <vt:variant>
        <vt:i4>252</vt:i4>
      </vt:variant>
      <vt:variant>
        <vt:i4>0</vt:i4>
      </vt:variant>
      <vt:variant>
        <vt:i4>5</vt:i4>
      </vt:variant>
      <vt:variant>
        <vt:lpwstr>https://www.worksafe.qld.gov.au/__data/assets/pdf_file/0023/14963/incidents_form.pdf</vt:lpwstr>
      </vt:variant>
      <vt:variant>
        <vt:lpwstr/>
      </vt:variant>
      <vt:variant>
        <vt:i4>7798839</vt:i4>
      </vt:variant>
      <vt:variant>
        <vt:i4>249</vt:i4>
      </vt:variant>
      <vt:variant>
        <vt:i4>0</vt:i4>
      </vt:variant>
      <vt:variant>
        <vt:i4>5</vt:i4>
      </vt:variant>
      <vt:variant>
        <vt:lpwstr>https://ols.workcoverqld.com.au/ols/public/incident/registration.wc</vt:lpwstr>
      </vt:variant>
      <vt:variant>
        <vt:lpwstr/>
      </vt:variant>
      <vt:variant>
        <vt:i4>2883619</vt:i4>
      </vt:variant>
      <vt:variant>
        <vt:i4>246</vt:i4>
      </vt:variant>
      <vt:variant>
        <vt:i4>0</vt:i4>
      </vt:variant>
      <vt:variant>
        <vt:i4>5</vt:i4>
      </vt:variant>
      <vt:variant>
        <vt:lpwstr>https://www.safeworkaustralia.gov.au/system/files/documents/1702/incident-notification-fact-sheet-2015.pdf</vt:lpwstr>
      </vt:variant>
      <vt:variant>
        <vt:lpwstr/>
      </vt:variant>
      <vt:variant>
        <vt:i4>4849718</vt:i4>
      </vt:variant>
      <vt:variant>
        <vt:i4>243</vt:i4>
      </vt:variant>
      <vt:variant>
        <vt:i4>0</vt:i4>
      </vt:variant>
      <vt:variant>
        <vt:i4>5</vt:i4>
      </vt:variant>
      <vt:variant>
        <vt:lpwstr>https://www.safeworkaustralia.gov.au/sites/default/files/2020-08/Explanatory Memorandum to the model WHS Act_.pdf</vt:lpwstr>
      </vt:variant>
      <vt:variant>
        <vt:lpwstr/>
      </vt:variant>
      <vt:variant>
        <vt:i4>2883619</vt:i4>
      </vt:variant>
      <vt:variant>
        <vt:i4>240</vt:i4>
      </vt:variant>
      <vt:variant>
        <vt:i4>0</vt:i4>
      </vt:variant>
      <vt:variant>
        <vt:i4>5</vt:i4>
      </vt:variant>
      <vt:variant>
        <vt:lpwstr>https://www.safeworkaustralia.gov.au/system/files/documents/1702/incident-notification-fact-sheet-2015.pdf</vt:lpwstr>
      </vt:variant>
      <vt:variant>
        <vt:lpwstr/>
      </vt:variant>
      <vt:variant>
        <vt:i4>1966092</vt:i4>
      </vt:variant>
      <vt:variant>
        <vt:i4>237</vt:i4>
      </vt:variant>
      <vt:variant>
        <vt:i4>0</vt:i4>
      </vt:variant>
      <vt:variant>
        <vt:i4>5</vt:i4>
      </vt:variant>
      <vt:variant>
        <vt:lpwstr>https://www.safeworkaustralia.gov.au/sites/default/files/2021-05/Decision RIS - 2018 Review of model WHS laws - Final PDF for OBPR publication 260521.pdf</vt:lpwstr>
      </vt:variant>
      <vt:variant>
        <vt:lpwstr/>
      </vt:variant>
      <vt:variant>
        <vt:i4>8257592</vt:i4>
      </vt:variant>
      <vt:variant>
        <vt:i4>234</vt:i4>
      </vt:variant>
      <vt:variant>
        <vt:i4>0</vt:i4>
      </vt:variant>
      <vt:variant>
        <vt:i4>5</vt:i4>
      </vt:variant>
      <vt:variant>
        <vt:lpwstr>https://engage.swa.gov.au/review-consultation/documents</vt:lpwstr>
      </vt:variant>
      <vt:variant>
        <vt:lpwstr/>
      </vt:variant>
      <vt:variant>
        <vt:i4>3145831</vt:i4>
      </vt:variant>
      <vt:variant>
        <vt:i4>231</vt:i4>
      </vt:variant>
      <vt:variant>
        <vt:i4>0</vt:i4>
      </vt:variant>
      <vt:variant>
        <vt:i4>5</vt:i4>
      </vt:variant>
      <vt:variant>
        <vt:lpwstr>https://www.safeworkaustralia.gov.au/doc/review-model-whs-laws-consultation-summary</vt:lpwstr>
      </vt:variant>
      <vt:variant>
        <vt:lpwstr/>
      </vt:variant>
      <vt:variant>
        <vt:i4>4849718</vt:i4>
      </vt:variant>
      <vt:variant>
        <vt:i4>228</vt:i4>
      </vt:variant>
      <vt:variant>
        <vt:i4>0</vt:i4>
      </vt:variant>
      <vt:variant>
        <vt:i4>5</vt:i4>
      </vt:variant>
      <vt:variant>
        <vt:lpwstr>https://www.safeworkaustralia.gov.au/sites/default/files/2020-08/Explanatory Memorandum to the model WHS Act_.pdf</vt:lpwstr>
      </vt:variant>
      <vt:variant>
        <vt:lpwstr/>
      </vt:variant>
      <vt:variant>
        <vt:i4>4849718</vt:i4>
      </vt:variant>
      <vt:variant>
        <vt:i4>225</vt:i4>
      </vt:variant>
      <vt:variant>
        <vt:i4>0</vt:i4>
      </vt:variant>
      <vt:variant>
        <vt:i4>5</vt:i4>
      </vt:variant>
      <vt:variant>
        <vt:lpwstr>https://www.safeworkaustralia.gov.au/sites/default/files/2020-08/Explanatory Memorandum to the model WHS Act_.pdf</vt:lpwstr>
      </vt:variant>
      <vt:variant>
        <vt:lpwstr/>
      </vt:variant>
      <vt:variant>
        <vt:i4>2883619</vt:i4>
      </vt:variant>
      <vt:variant>
        <vt:i4>222</vt:i4>
      </vt:variant>
      <vt:variant>
        <vt:i4>0</vt:i4>
      </vt:variant>
      <vt:variant>
        <vt:i4>5</vt:i4>
      </vt:variant>
      <vt:variant>
        <vt:lpwstr>https://www.safeworkaustralia.gov.au/system/files/documents/1702/incident-notification-fact-sheet-2015.pdf</vt:lpwstr>
      </vt:variant>
      <vt:variant>
        <vt:lpwstr/>
      </vt:variant>
      <vt:variant>
        <vt:i4>4456527</vt:i4>
      </vt:variant>
      <vt:variant>
        <vt:i4>219</vt:i4>
      </vt:variant>
      <vt:variant>
        <vt:i4>0</vt:i4>
      </vt:variant>
      <vt:variant>
        <vt:i4>5</vt:i4>
      </vt:variant>
      <vt:variant>
        <vt:lpwstr>https://www.safeworkaustralia.gov.au/law-and-regulation/model-whs-laws/review-model-whs-laws</vt:lpwstr>
      </vt:variant>
      <vt:variant>
        <vt:lpwstr/>
      </vt:variant>
      <vt:variant>
        <vt:i4>3539044</vt:i4>
      </vt:variant>
      <vt:variant>
        <vt:i4>216</vt:i4>
      </vt:variant>
      <vt:variant>
        <vt:i4>0</vt:i4>
      </vt:variant>
      <vt:variant>
        <vt:i4>5</vt:i4>
      </vt:variant>
      <vt:variant>
        <vt:lpwstr>https://www.safeworkaustralia.gov.au/resources-and-publications/guidance-materials/incident-notification-information-sheet</vt:lpwstr>
      </vt:variant>
      <vt:variant>
        <vt:lpwstr/>
      </vt:variant>
      <vt:variant>
        <vt:i4>3539044</vt:i4>
      </vt:variant>
      <vt:variant>
        <vt:i4>213</vt:i4>
      </vt:variant>
      <vt:variant>
        <vt:i4>0</vt:i4>
      </vt:variant>
      <vt:variant>
        <vt:i4>5</vt:i4>
      </vt:variant>
      <vt:variant>
        <vt:lpwstr>https://www.safeworkaustralia.gov.au/resources-and-publications/guidance-materials/incident-notification-information-sheet</vt:lpwstr>
      </vt:variant>
      <vt:variant>
        <vt:lpwstr/>
      </vt:variant>
      <vt:variant>
        <vt:i4>2424889</vt:i4>
      </vt:variant>
      <vt:variant>
        <vt:i4>210</vt:i4>
      </vt:variant>
      <vt:variant>
        <vt:i4>0</vt:i4>
      </vt:variant>
      <vt:variant>
        <vt:i4>5</vt:i4>
      </vt:variant>
      <vt:variant>
        <vt:lpwstr>https://www.worksafe.act.gov.au/health-and-safety-portal/notify-worksafe</vt:lpwstr>
      </vt:variant>
      <vt:variant>
        <vt:lpwstr>:~:text=For%20the%20purposes%20of%20notifying,the%20workplace%20to%20sexual%20assault.</vt:lpwstr>
      </vt:variant>
      <vt:variant>
        <vt:i4>2883619</vt:i4>
      </vt:variant>
      <vt:variant>
        <vt:i4>207</vt:i4>
      </vt:variant>
      <vt:variant>
        <vt:i4>0</vt:i4>
      </vt:variant>
      <vt:variant>
        <vt:i4>5</vt:i4>
      </vt:variant>
      <vt:variant>
        <vt:lpwstr>https://www.safeworkaustralia.gov.au/system/files/documents/1702/incident-notification-fact-sheet-2015.pdf</vt:lpwstr>
      </vt:variant>
      <vt:variant>
        <vt:lpwstr/>
      </vt:variant>
      <vt:variant>
        <vt:i4>6881378</vt:i4>
      </vt:variant>
      <vt:variant>
        <vt:i4>204</vt:i4>
      </vt:variant>
      <vt:variant>
        <vt:i4>0</vt:i4>
      </vt:variant>
      <vt:variant>
        <vt:i4>5</vt:i4>
      </vt:variant>
      <vt:variant>
        <vt:lpwstr>https://www.safeworkaustralia.gov.au/doc/decision-regulation-impact-statement-review-model-work-health-and-safety-laws</vt:lpwstr>
      </vt:variant>
      <vt:variant>
        <vt:lpwstr/>
      </vt:variant>
      <vt:variant>
        <vt:i4>4456527</vt:i4>
      </vt:variant>
      <vt:variant>
        <vt:i4>201</vt:i4>
      </vt:variant>
      <vt:variant>
        <vt:i4>0</vt:i4>
      </vt:variant>
      <vt:variant>
        <vt:i4>5</vt:i4>
      </vt:variant>
      <vt:variant>
        <vt:lpwstr>https://www.safeworkaustralia.gov.au/law-and-regulation/model-whs-laws/review-model-whs-laws</vt:lpwstr>
      </vt:variant>
      <vt:variant>
        <vt:lpwstr/>
      </vt:variant>
      <vt:variant>
        <vt:i4>1441844</vt:i4>
      </vt:variant>
      <vt:variant>
        <vt:i4>198</vt:i4>
      </vt:variant>
      <vt:variant>
        <vt:i4>0</vt:i4>
      </vt:variant>
      <vt:variant>
        <vt:i4>5</vt:i4>
      </vt:variant>
      <vt:variant>
        <vt:lpwstr/>
      </vt:variant>
      <vt:variant>
        <vt:lpwstr>_APPENDIX_B_–</vt:lpwstr>
      </vt:variant>
      <vt:variant>
        <vt:i4>3735676</vt:i4>
      </vt:variant>
      <vt:variant>
        <vt:i4>195</vt:i4>
      </vt:variant>
      <vt:variant>
        <vt:i4>0</vt:i4>
      </vt:variant>
      <vt:variant>
        <vt:i4>5</vt:i4>
      </vt:variant>
      <vt:variant>
        <vt:lpwstr>https://www.safeworkaustralia.gov.au/doc/guide-model-work-health-and-safety-act</vt:lpwstr>
      </vt:variant>
      <vt:variant>
        <vt:lpwstr>:~:text=This%20guide%20provides%20an%20overview%20of%20the%20model,the%20model%20WHS%20laws%2C%20dated%209%20December%202019.</vt:lpwstr>
      </vt:variant>
      <vt:variant>
        <vt:i4>4849718</vt:i4>
      </vt:variant>
      <vt:variant>
        <vt:i4>192</vt:i4>
      </vt:variant>
      <vt:variant>
        <vt:i4>0</vt:i4>
      </vt:variant>
      <vt:variant>
        <vt:i4>5</vt:i4>
      </vt:variant>
      <vt:variant>
        <vt:lpwstr>https://www.safeworkaustralia.gov.au/sites/default/files/2020-08/Explanatory Memorandum to the model WHS Act_.pdf</vt:lpwstr>
      </vt:variant>
      <vt:variant>
        <vt:lpwstr/>
      </vt:variant>
      <vt:variant>
        <vt:i4>2883619</vt:i4>
      </vt:variant>
      <vt:variant>
        <vt:i4>189</vt:i4>
      </vt:variant>
      <vt:variant>
        <vt:i4>0</vt:i4>
      </vt:variant>
      <vt:variant>
        <vt:i4>5</vt:i4>
      </vt:variant>
      <vt:variant>
        <vt:lpwstr>https://www.safeworkaustralia.gov.au/system/files/documents/1702/incident-notification-fact-sheet-2015.pdf</vt:lpwstr>
      </vt:variant>
      <vt:variant>
        <vt:lpwstr/>
      </vt:variant>
      <vt:variant>
        <vt:i4>3407979</vt:i4>
      </vt:variant>
      <vt:variant>
        <vt:i4>186</vt:i4>
      </vt:variant>
      <vt:variant>
        <vt:i4>0</vt:i4>
      </vt:variant>
      <vt:variant>
        <vt:i4>5</vt:i4>
      </vt:variant>
      <vt:variant>
        <vt:lpwstr>https://www.safeworkaustralia.gov.au/system/files/documents/1702/interpretive_guideline_-_reasonably_practicable.pdf</vt:lpwstr>
      </vt:variant>
      <vt:variant>
        <vt:lpwstr/>
      </vt:variant>
      <vt:variant>
        <vt:i4>1048658</vt:i4>
      </vt:variant>
      <vt:variant>
        <vt:i4>183</vt:i4>
      </vt:variant>
      <vt:variant>
        <vt:i4>0</vt:i4>
      </vt:variant>
      <vt:variant>
        <vt:i4>5</vt:i4>
      </vt:variant>
      <vt:variant>
        <vt:lpwstr>ttps://www.safeworkaustralia.gov.au/law-and-regulation/whs-regulators-and-workers-compensation-authorities-contact-information/how-do-regulators-enforce-whs-laws</vt:lpwstr>
      </vt:variant>
      <vt:variant>
        <vt:lpwstr/>
      </vt:variant>
      <vt:variant>
        <vt:i4>6291507</vt:i4>
      </vt:variant>
      <vt:variant>
        <vt:i4>180</vt:i4>
      </vt:variant>
      <vt:variant>
        <vt:i4>0</vt:i4>
      </vt:variant>
      <vt:variant>
        <vt:i4>5</vt:i4>
      </vt:variant>
      <vt:variant>
        <vt:lpwstr>https://www.safeworkaustralia.gov.au/about-us/who-we-are-and-what-we-do</vt:lpwstr>
      </vt:variant>
      <vt:variant>
        <vt:lpwstr/>
      </vt:variant>
      <vt:variant>
        <vt:i4>3145837</vt:i4>
      </vt:variant>
      <vt:variant>
        <vt:i4>177</vt:i4>
      </vt:variant>
      <vt:variant>
        <vt:i4>0</vt:i4>
      </vt:variant>
      <vt:variant>
        <vt:i4>5</vt:i4>
      </vt:variant>
      <vt:variant>
        <vt:lpwstr>https://engage.swa.gov.au/login</vt:lpwstr>
      </vt:variant>
      <vt:variant>
        <vt:lpwstr/>
      </vt:variant>
      <vt:variant>
        <vt:i4>6619148</vt:i4>
      </vt:variant>
      <vt:variant>
        <vt:i4>174</vt:i4>
      </vt:variant>
      <vt:variant>
        <vt:i4>0</vt:i4>
      </vt:variant>
      <vt:variant>
        <vt:i4>5</vt:i4>
      </vt:variant>
      <vt:variant>
        <vt:lpwstr>mailto:INconsult@swa.gov.au</vt:lpwstr>
      </vt:variant>
      <vt:variant>
        <vt:lpwstr/>
      </vt:variant>
      <vt:variant>
        <vt:i4>5308446</vt:i4>
      </vt:variant>
      <vt:variant>
        <vt:i4>171</vt:i4>
      </vt:variant>
      <vt:variant>
        <vt:i4>0</vt:i4>
      </vt:variant>
      <vt:variant>
        <vt:i4>5</vt:i4>
      </vt:variant>
      <vt:variant>
        <vt:lpwstr>https://engage.swa.gov.au/privacy</vt:lpwstr>
      </vt:variant>
      <vt:variant>
        <vt:lpwstr/>
      </vt:variant>
      <vt:variant>
        <vt:i4>5898245</vt:i4>
      </vt:variant>
      <vt:variant>
        <vt:i4>168</vt:i4>
      </vt:variant>
      <vt:variant>
        <vt:i4>0</vt:i4>
      </vt:variant>
      <vt:variant>
        <vt:i4>5</vt:i4>
      </vt:variant>
      <vt:variant>
        <vt:lpwstr>https://www.safeworkaustralia.gov.au/privacy</vt:lpwstr>
      </vt:variant>
      <vt:variant>
        <vt:lpwstr/>
      </vt:variant>
      <vt:variant>
        <vt:i4>3932258</vt:i4>
      </vt:variant>
      <vt:variant>
        <vt:i4>165</vt:i4>
      </vt:variant>
      <vt:variant>
        <vt:i4>0</vt:i4>
      </vt:variant>
      <vt:variant>
        <vt:i4>5</vt:i4>
      </vt:variant>
      <vt:variant>
        <vt:lpwstr>https://engage.swa.gov.au/87637/widgets/411835/documents/264397</vt:lpwstr>
      </vt:variant>
      <vt:variant>
        <vt:lpwstr/>
      </vt:variant>
      <vt:variant>
        <vt:i4>6619148</vt:i4>
      </vt:variant>
      <vt:variant>
        <vt:i4>162</vt:i4>
      </vt:variant>
      <vt:variant>
        <vt:i4>0</vt:i4>
      </vt:variant>
      <vt:variant>
        <vt:i4>5</vt:i4>
      </vt:variant>
      <vt:variant>
        <vt:lpwstr>mailto:INconsult@swa.gov.au</vt:lpwstr>
      </vt:variant>
      <vt:variant>
        <vt:lpwstr/>
      </vt:variant>
      <vt:variant>
        <vt:i4>2818087</vt:i4>
      </vt:variant>
      <vt:variant>
        <vt:i4>159</vt:i4>
      </vt:variant>
      <vt:variant>
        <vt:i4>0</vt:i4>
      </vt:variant>
      <vt:variant>
        <vt:i4>5</vt:i4>
      </vt:variant>
      <vt:variant>
        <vt:lpwstr>https://engage.swa.gov.au/admin/projects/whs-incident-notification-consultation</vt:lpwstr>
      </vt:variant>
      <vt:variant>
        <vt:lpwstr/>
      </vt:variant>
      <vt:variant>
        <vt:i4>8257589</vt:i4>
      </vt:variant>
      <vt:variant>
        <vt:i4>156</vt:i4>
      </vt:variant>
      <vt:variant>
        <vt:i4>0</vt:i4>
      </vt:variant>
      <vt:variant>
        <vt:i4>5</vt:i4>
      </vt:variant>
      <vt:variant>
        <vt:lpwstr>https://www.beyondblue.org.au/get-support/get-immediate-support</vt:lpwstr>
      </vt:variant>
      <vt:variant>
        <vt:lpwstr/>
      </vt:variant>
      <vt:variant>
        <vt:i4>917583</vt:i4>
      </vt:variant>
      <vt:variant>
        <vt:i4>153</vt:i4>
      </vt:variant>
      <vt:variant>
        <vt:i4>0</vt:i4>
      </vt:variant>
      <vt:variant>
        <vt:i4>5</vt:i4>
      </vt:variant>
      <vt:variant>
        <vt:lpwstr>https://www.lifeline.org.au/</vt:lpwstr>
      </vt:variant>
      <vt:variant>
        <vt:lpwstr/>
      </vt:variant>
      <vt:variant>
        <vt:i4>1572921</vt:i4>
      </vt:variant>
      <vt:variant>
        <vt:i4>146</vt:i4>
      </vt:variant>
      <vt:variant>
        <vt:i4>0</vt:i4>
      </vt:variant>
      <vt:variant>
        <vt:i4>5</vt:i4>
      </vt:variant>
      <vt:variant>
        <vt:lpwstr/>
      </vt:variant>
      <vt:variant>
        <vt:lpwstr>_Toc141192081</vt:lpwstr>
      </vt:variant>
      <vt:variant>
        <vt:i4>1572921</vt:i4>
      </vt:variant>
      <vt:variant>
        <vt:i4>140</vt:i4>
      </vt:variant>
      <vt:variant>
        <vt:i4>0</vt:i4>
      </vt:variant>
      <vt:variant>
        <vt:i4>5</vt:i4>
      </vt:variant>
      <vt:variant>
        <vt:lpwstr/>
      </vt:variant>
      <vt:variant>
        <vt:lpwstr>_Toc141192080</vt:lpwstr>
      </vt:variant>
      <vt:variant>
        <vt:i4>1507385</vt:i4>
      </vt:variant>
      <vt:variant>
        <vt:i4>134</vt:i4>
      </vt:variant>
      <vt:variant>
        <vt:i4>0</vt:i4>
      </vt:variant>
      <vt:variant>
        <vt:i4>5</vt:i4>
      </vt:variant>
      <vt:variant>
        <vt:lpwstr/>
      </vt:variant>
      <vt:variant>
        <vt:lpwstr>_Toc141192079</vt:lpwstr>
      </vt:variant>
      <vt:variant>
        <vt:i4>1507385</vt:i4>
      </vt:variant>
      <vt:variant>
        <vt:i4>128</vt:i4>
      </vt:variant>
      <vt:variant>
        <vt:i4>0</vt:i4>
      </vt:variant>
      <vt:variant>
        <vt:i4>5</vt:i4>
      </vt:variant>
      <vt:variant>
        <vt:lpwstr/>
      </vt:variant>
      <vt:variant>
        <vt:lpwstr>_Toc141192078</vt:lpwstr>
      </vt:variant>
      <vt:variant>
        <vt:i4>1507385</vt:i4>
      </vt:variant>
      <vt:variant>
        <vt:i4>122</vt:i4>
      </vt:variant>
      <vt:variant>
        <vt:i4>0</vt:i4>
      </vt:variant>
      <vt:variant>
        <vt:i4>5</vt:i4>
      </vt:variant>
      <vt:variant>
        <vt:lpwstr/>
      </vt:variant>
      <vt:variant>
        <vt:lpwstr>_Toc141192077</vt:lpwstr>
      </vt:variant>
      <vt:variant>
        <vt:i4>1507385</vt:i4>
      </vt:variant>
      <vt:variant>
        <vt:i4>116</vt:i4>
      </vt:variant>
      <vt:variant>
        <vt:i4>0</vt:i4>
      </vt:variant>
      <vt:variant>
        <vt:i4>5</vt:i4>
      </vt:variant>
      <vt:variant>
        <vt:lpwstr/>
      </vt:variant>
      <vt:variant>
        <vt:lpwstr>_Toc141192076</vt:lpwstr>
      </vt:variant>
      <vt:variant>
        <vt:i4>1507385</vt:i4>
      </vt:variant>
      <vt:variant>
        <vt:i4>110</vt:i4>
      </vt:variant>
      <vt:variant>
        <vt:i4>0</vt:i4>
      </vt:variant>
      <vt:variant>
        <vt:i4>5</vt:i4>
      </vt:variant>
      <vt:variant>
        <vt:lpwstr/>
      </vt:variant>
      <vt:variant>
        <vt:lpwstr>_Toc141192075</vt:lpwstr>
      </vt:variant>
      <vt:variant>
        <vt:i4>1507385</vt:i4>
      </vt:variant>
      <vt:variant>
        <vt:i4>104</vt:i4>
      </vt:variant>
      <vt:variant>
        <vt:i4>0</vt:i4>
      </vt:variant>
      <vt:variant>
        <vt:i4>5</vt:i4>
      </vt:variant>
      <vt:variant>
        <vt:lpwstr/>
      </vt:variant>
      <vt:variant>
        <vt:lpwstr>_Toc141192074</vt:lpwstr>
      </vt:variant>
      <vt:variant>
        <vt:i4>1507385</vt:i4>
      </vt:variant>
      <vt:variant>
        <vt:i4>98</vt:i4>
      </vt:variant>
      <vt:variant>
        <vt:i4>0</vt:i4>
      </vt:variant>
      <vt:variant>
        <vt:i4>5</vt:i4>
      </vt:variant>
      <vt:variant>
        <vt:lpwstr/>
      </vt:variant>
      <vt:variant>
        <vt:lpwstr>_Toc141192073</vt:lpwstr>
      </vt:variant>
      <vt:variant>
        <vt:i4>1507385</vt:i4>
      </vt:variant>
      <vt:variant>
        <vt:i4>92</vt:i4>
      </vt:variant>
      <vt:variant>
        <vt:i4>0</vt:i4>
      </vt:variant>
      <vt:variant>
        <vt:i4>5</vt:i4>
      </vt:variant>
      <vt:variant>
        <vt:lpwstr/>
      </vt:variant>
      <vt:variant>
        <vt:lpwstr>_Toc141192072</vt:lpwstr>
      </vt:variant>
      <vt:variant>
        <vt:i4>1507385</vt:i4>
      </vt:variant>
      <vt:variant>
        <vt:i4>86</vt:i4>
      </vt:variant>
      <vt:variant>
        <vt:i4>0</vt:i4>
      </vt:variant>
      <vt:variant>
        <vt:i4>5</vt:i4>
      </vt:variant>
      <vt:variant>
        <vt:lpwstr/>
      </vt:variant>
      <vt:variant>
        <vt:lpwstr>_Toc141192071</vt:lpwstr>
      </vt:variant>
      <vt:variant>
        <vt:i4>1507385</vt:i4>
      </vt:variant>
      <vt:variant>
        <vt:i4>80</vt:i4>
      </vt:variant>
      <vt:variant>
        <vt:i4>0</vt:i4>
      </vt:variant>
      <vt:variant>
        <vt:i4>5</vt:i4>
      </vt:variant>
      <vt:variant>
        <vt:lpwstr/>
      </vt:variant>
      <vt:variant>
        <vt:lpwstr>_Toc141192070</vt:lpwstr>
      </vt:variant>
      <vt:variant>
        <vt:i4>1441849</vt:i4>
      </vt:variant>
      <vt:variant>
        <vt:i4>74</vt:i4>
      </vt:variant>
      <vt:variant>
        <vt:i4>0</vt:i4>
      </vt:variant>
      <vt:variant>
        <vt:i4>5</vt:i4>
      </vt:variant>
      <vt:variant>
        <vt:lpwstr/>
      </vt:variant>
      <vt:variant>
        <vt:lpwstr>_Toc141192069</vt:lpwstr>
      </vt:variant>
      <vt:variant>
        <vt:i4>1441849</vt:i4>
      </vt:variant>
      <vt:variant>
        <vt:i4>68</vt:i4>
      </vt:variant>
      <vt:variant>
        <vt:i4>0</vt:i4>
      </vt:variant>
      <vt:variant>
        <vt:i4>5</vt:i4>
      </vt:variant>
      <vt:variant>
        <vt:lpwstr/>
      </vt:variant>
      <vt:variant>
        <vt:lpwstr>_Toc141192068</vt:lpwstr>
      </vt:variant>
      <vt:variant>
        <vt:i4>1441849</vt:i4>
      </vt:variant>
      <vt:variant>
        <vt:i4>62</vt:i4>
      </vt:variant>
      <vt:variant>
        <vt:i4>0</vt:i4>
      </vt:variant>
      <vt:variant>
        <vt:i4>5</vt:i4>
      </vt:variant>
      <vt:variant>
        <vt:lpwstr/>
      </vt:variant>
      <vt:variant>
        <vt:lpwstr>_Toc141192067</vt:lpwstr>
      </vt:variant>
      <vt:variant>
        <vt:i4>1441849</vt:i4>
      </vt:variant>
      <vt:variant>
        <vt:i4>56</vt:i4>
      </vt:variant>
      <vt:variant>
        <vt:i4>0</vt:i4>
      </vt:variant>
      <vt:variant>
        <vt:i4>5</vt:i4>
      </vt:variant>
      <vt:variant>
        <vt:lpwstr/>
      </vt:variant>
      <vt:variant>
        <vt:lpwstr>_Toc141192066</vt:lpwstr>
      </vt:variant>
      <vt:variant>
        <vt:i4>1441849</vt:i4>
      </vt:variant>
      <vt:variant>
        <vt:i4>50</vt:i4>
      </vt:variant>
      <vt:variant>
        <vt:i4>0</vt:i4>
      </vt:variant>
      <vt:variant>
        <vt:i4>5</vt:i4>
      </vt:variant>
      <vt:variant>
        <vt:lpwstr/>
      </vt:variant>
      <vt:variant>
        <vt:lpwstr>_Toc141192065</vt:lpwstr>
      </vt:variant>
      <vt:variant>
        <vt:i4>1441849</vt:i4>
      </vt:variant>
      <vt:variant>
        <vt:i4>44</vt:i4>
      </vt:variant>
      <vt:variant>
        <vt:i4>0</vt:i4>
      </vt:variant>
      <vt:variant>
        <vt:i4>5</vt:i4>
      </vt:variant>
      <vt:variant>
        <vt:lpwstr/>
      </vt:variant>
      <vt:variant>
        <vt:lpwstr>_Toc141192064</vt:lpwstr>
      </vt:variant>
      <vt:variant>
        <vt:i4>1441849</vt:i4>
      </vt:variant>
      <vt:variant>
        <vt:i4>38</vt:i4>
      </vt:variant>
      <vt:variant>
        <vt:i4>0</vt:i4>
      </vt:variant>
      <vt:variant>
        <vt:i4>5</vt:i4>
      </vt:variant>
      <vt:variant>
        <vt:lpwstr/>
      </vt:variant>
      <vt:variant>
        <vt:lpwstr>_Toc141192063</vt:lpwstr>
      </vt:variant>
      <vt:variant>
        <vt:i4>1441849</vt:i4>
      </vt:variant>
      <vt:variant>
        <vt:i4>32</vt:i4>
      </vt:variant>
      <vt:variant>
        <vt:i4>0</vt:i4>
      </vt:variant>
      <vt:variant>
        <vt:i4>5</vt:i4>
      </vt:variant>
      <vt:variant>
        <vt:lpwstr/>
      </vt:variant>
      <vt:variant>
        <vt:lpwstr>_Toc141192062</vt:lpwstr>
      </vt:variant>
      <vt:variant>
        <vt:i4>1441849</vt:i4>
      </vt:variant>
      <vt:variant>
        <vt:i4>26</vt:i4>
      </vt:variant>
      <vt:variant>
        <vt:i4>0</vt:i4>
      </vt:variant>
      <vt:variant>
        <vt:i4>5</vt:i4>
      </vt:variant>
      <vt:variant>
        <vt:lpwstr/>
      </vt:variant>
      <vt:variant>
        <vt:lpwstr>_Toc141192061</vt:lpwstr>
      </vt:variant>
      <vt:variant>
        <vt:i4>1441849</vt:i4>
      </vt:variant>
      <vt:variant>
        <vt:i4>20</vt:i4>
      </vt:variant>
      <vt:variant>
        <vt:i4>0</vt:i4>
      </vt:variant>
      <vt:variant>
        <vt:i4>5</vt:i4>
      </vt:variant>
      <vt:variant>
        <vt:lpwstr/>
      </vt:variant>
      <vt:variant>
        <vt:lpwstr>_Toc141192060</vt:lpwstr>
      </vt:variant>
      <vt:variant>
        <vt:i4>1376313</vt:i4>
      </vt:variant>
      <vt:variant>
        <vt:i4>14</vt:i4>
      </vt:variant>
      <vt:variant>
        <vt:i4>0</vt:i4>
      </vt:variant>
      <vt:variant>
        <vt:i4>5</vt:i4>
      </vt:variant>
      <vt:variant>
        <vt:lpwstr/>
      </vt:variant>
      <vt:variant>
        <vt:lpwstr>_Toc141192059</vt:lpwstr>
      </vt:variant>
      <vt:variant>
        <vt:i4>1376313</vt:i4>
      </vt:variant>
      <vt:variant>
        <vt:i4>8</vt:i4>
      </vt:variant>
      <vt:variant>
        <vt:i4>0</vt:i4>
      </vt:variant>
      <vt:variant>
        <vt:i4>5</vt:i4>
      </vt:variant>
      <vt:variant>
        <vt:lpwstr/>
      </vt:variant>
      <vt:variant>
        <vt:lpwstr>_Toc141192058</vt:lpwstr>
      </vt:variant>
      <vt:variant>
        <vt:i4>1245202</vt:i4>
      </vt:variant>
      <vt:variant>
        <vt:i4>3</vt:i4>
      </vt:variant>
      <vt:variant>
        <vt:i4>0</vt:i4>
      </vt:variant>
      <vt:variant>
        <vt:i4>5</vt:i4>
      </vt:variant>
      <vt:variant>
        <vt:lpwstr>http://swa.hosts.application.enet/business-support/Communication/Documents/www.swa.gov.au</vt:lpwstr>
      </vt:variant>
      <vt:variant>
        <vt:lpwstr/>
      </vt:variant>
      <vt:variant>
        <vt:i4>4194345</vt:i4>
      </vt:variant>
      <vt:variant>
        <vt:i4>0</vt:i4>
      </vt:variant>
      <vt:variant>
        <vt:i4>0</vt:i4>
      </vt:variant>
      <vt:variant>
        <vt:i4>5</vt:i4>
      </vt:variant>
      <vt:variant>
        <vt:lpwstr>mailto:info@swa.gov.au</vt:lpwstr>
      </vt:variant>
      <vt:variant>
        <vt:lpwstr/>
      </vt:variant>
      <vt:variant>
        <vt:i4>5701703</vt:i4>
      </vt:variant>
      <vt:variant>
        <vt:i4>36</vt:i4>
      </vt:variant>
      <vt:variant>
        <vt:i4>0</vt:i4>
      </vt:variant>
      <vt:variant>
        <vt:i4>5</vt:i4>
      </vt:variant>
      <vt:variant>
        <vt:lpwstr>https://www.safeworkaustralia.gov.au/sites/default/files/2022-09/Incident-notification-fact-sheet-2015 UD.PDF</vt:lpwstr>
      </vt:variant>
      <vt:variant>
        <vt:lpwstr/>
      </vt:variant>
      <vt:variant>
        <vt:i4>5177432</vt:i4>
      </vt:variant>
      <vt:variant>
        <vt:i4>33</vt:i4>
      </vt:variant>
      <vt:variant>
        <vt:i4>0</vt:i4>
      </vt:variant>
      <vt:variant>
        <vt:i4>5</vt:i4>
      </vt:variant>
      <vt:variant>
        <vt:lpwstr>https://www.aihw.gov.au/reports-data/myhospitals/sectors/emergency-department-care</vt:lpwstr>
      </vt:variant>
      <vt:variant>
        <vt:lpwstr>:~:text=There%20were%208.8%20million%20emergency,of%20presentations%20to%20emergency%20departments.&amp;text=67%25%20of%20patients%20were%20seen,time%20overall%20in%202021%E2%80%9322.</vt:lpwstr>
      </vt:variant>
      <vt:variant>
        <vt:i4>2949242</vt:i4>
      </vt:variant>
      <vt:variant>
        <vt:i4>30</vt:i4>
      </vt:variant>
      <vt:variant>
        <vt:i4>0</vt:i4>
      </vt:variant>
      <vt:variant>
        <vt:i4>5</vt:i4>
      </vt:variant>
      <vt:variant>
        <vt:lpwstr>https://www.aihw.gov.au/reports/injury/treatment-pathways-brain-injury/data</vt:lpwstr>
      </vt:variant>
      <vt:variant>
        <vt:lpwstr/>
      </vt:variant>
      <vt:variant>
        <vt:i4>1638419</vt:i4>
      </vt:variant>
      <vt:variant>
        <vt:i4>27</vt:i4>
      </vt:variant>
      <vt:variant>
        <vt:i4>0</vt:i4>
      </vt:variant>
      <vt:variant>
        <vt:i4>5</vt:i4>
      </vt:variant>
      <vt:variant>
        <vt:lpwstr>https://www.aihw.gov.au/reports/injury/treatment-pathways-brain-injury/contents/about</vt:lpwstr>
      </vt:variant>
      <vt:variant>
        <vt:lpwstr/>
      </vt:variant>
      <vt:variant>
        <vt:i4>5308430</vt:i4>
      </vt:variant>
      <vt:variant>
        <vt:i4>24</vt:i4>
      </vt:variant>
      <vt:variant>
        <vt:i4>0</vt:i4>
      </vt:variant>
      <vt:variant>
        <vt:i4>5</vt:i4>
      </vt:variant>
      <vt:variant>
        <vt:lpwstr>https://humanrights.gov.au/time-for-respect-2022</vt:lpwstr>
      </vt:variant>
      <vt:variant>
        <vt:lpwstr/>
      </vt:variant>
      <vt:variant>
        <vt:i4>7929923</vt:i4>
      </vt:variant>
      <vt:variant>
        <vt:i4>21</vt:i4>
      </vt:variant>
      <vt:variant>
        <vt:i4>0</vt:i4>
      </vt:variant>
      <vt:variant>
        <vt:i4>5</vt:i4>
      </vt:variant>
      <vt:variant>
        <vt:lpwstr>file://C:\\Users\RB3350\Downloads\2011-35.PDF</vt:lpwstr>
      </vt:variant>
      <vt:variant>
        <vt:lpwstr/>
      </vt:variant>
      <vt:variant>
        <vt:i4>4980776</vt:i4>
      </vt:variant>
      <vt:variant>
        <vt:i4>18</vt:i4>
      </vt:variant>
      <vt:variant>
        <vt:i4>0</vt:i4>
      </vt:variant>
      <vt:variant>
        <vt:i4>5</vt:i4>
      </vt:variant>
      <vt:variant>
        <vt:lpwstr>https://www.commerce.wa.gov.au/sites/default/files/atoms/files/information_sheet_-_gendered_violence_-_notification_of_sexual_harassment_and_or_assault_to_worksafe_mines_safety_1.pdf</vt:lpwstr>
      </vt:variant>
      <vt:variant>
        <vt:lpwstr/>
      </vt:variant>
      <vt:variant>
        <vt:i4>4587548</vt:i4>
      </vt:variant>
      <vt:variant>
        <vt:i4>15</vt:i4>
      </vt:variant>
      <vt:variant>
        <vt:i4>0</vt:i4>
      </vt:variant>
      <vt:variant>
        <vt:i4>5</vt:i4>
      </vt:variant>
      <vt:variant>
        <vt:lpwstr>https://www.nswnma.asn.au/wp-content/uploads/2019/02/Violence-in-Nursing-and-Midwifery-in-NSW.pdf</vt:lpwstr>
      </vt:variant>
      <vt:variant>
        <vt:lpwstr/>
      </vt:variant>
      <vt:variant>
        <vt:i4>2162808</vt:i4>
      </vt:variant>
      <vt:variant>
        <vt:i4>12</vt:i4>
      </vt:variant>
      <vt:variant>
        <vt:i4>0</vt:i4>
      </vt:variant>
      <vt:variant>
        <vt:i4>5</vt:i4>
      </vt:variant>
      <vt:variant>
        <vt:lpwstr>https://essentialretail.com.au/the-issues/retail-crime/</vt:lpwstr>
      </vt:variant>
      <vt:variant>
        <vt:lpwstr/>
      </vt:variant>
      <vt:variant>
        <vt:i4>5505045</vt:i4>
      </vt:variant>
      <vt:variant>
        <vt:i4>9</vt:i4>
      </vt:variant>
      <vt:variant>
        <vt:i4>0</vt:i4>
      </vt:variant>
      <vt:variant>
        <vt:i4>5</vt:i4>
      </vt:variant>
      <vt:variant>
        <vt:lpwstr>https://www.hse.gov.uk/research/assets/docs/work-related-suicide.pdf</vt:lpwstr>
      </vt:variant>
      <vt:variant>
        <vt:lpwstr/>
      </vt:variant>
      <vt:variant>
        <vt:i4>5701707</vt:i4>
      </vt:variant>
      <vt:variant>
        <vt:i4>6</vt:i4>
      </vt:variant>
      <vt:variant>
        <vt:i4>0</vt:i4>
      </vt:variant>
      <vt:variant>
        <vt:i4>5</vt:i4>
      </vt:variant>
      <vt:variant>
        <vt:lpwstr>https://www.aihw.gov.au/suicide-self-harm-monitoring/data/behaviours-risk-factors/social-factors-suicide/education-employment-as-risk-factors-for-suicide</vt:lpwstr>
      </vt:variant>
      <vt:variant>
        <vt:lpwstr/>
      </vt:variant>
      <vt:variant>
        <vt:i4>1376281</vt:i4>
      </vt:variant>
      <vt:variant>
        <vt:i4>3</vt:i4>
      </vt:variant>
      <vt:variant>
        <vt:i4>0</vt:i4>
      </vt:variant>
      <vt:variant>
        <vt:i4>5</vt:i4>
      </vt:variant>
      <vt:variant>
        <vt:lpwstr>https://www.aihw.gov.au/suicide-self-harm-monitoring/summary</vt:lpwstr>
      </vt:variant>
      <vt:variant>
        <vt:lpwstr>How%20common</vt:lpwstr>
      </vt:variant>
      <vt:variant>
        <vt:i4>2097192</vt:i4>
      </vt:variant>
      <vt:variant>
        <vt:i4>0</vt:i4>
      </vt:variant>
      <vt:variant>
        <vt:i4>0</vt:i4>
      </vt:variant>
      <vt:variant>
        <vt:i4>5</vt:i4>
      </vt:variant>
      <vt:variant>
        <vt:lpwstr>https://www.safeworkaustralia.gov.au/sites/default/files/2022-06/model_whs_bill_-_14_april_2022.pdf</vt:lpwstr>
      </vt:variant>
      <vt:variant>
        <vt:lpwstr/>
      </vt:variant>
      <vt:variant>
        <vt:i4>5963884</vt:i4>
      </vt:variant>
      <vt:variant>
        <vt:i4>0</vt:i4>
      </vt:variant>
      <vt:variant>
        <vt:i4>0</vt:i4>
      </vt:variant>
      <vt:variant>
        <vt:i4>5</vt:i4>
      </vt:variant>
      <vt:variant>
        <vt:lpwstr>mailto:Katherine.Taylor@swa.gov.au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the safety of crane operations in the maritime sector</dc:title>
  <dc:subject/>
  <dc:creator>GRANDIN,Corey</dc:creator>
  <cp:keywords/>
  <dc:description/>
  <cp:lastModifiedBy>GREY,Chevelle</cp:lastModifiedBy>
  <cp:revision>3</cp:revision>
  <cp:lastPrinted>2026-01-30T01:12:00Z</cp:lastPrinted>
  <dcterms:created xsi:type="dcterms:W3CDTF">2026-03-13T06:20:00Z</dcterms:created>
  <dcterms:modified xsi:type="dcterms:W3CDTF">2026-03-13T06:20:00Z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2023-07-28T01:57:36Z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d5d5a14d-ddbc-4bc0-8df6-b55a841bb01c</vt:lpwstr>
  </property>
  <property fmtid="{D5CDD505-2E9C-101B-9397-08002B2CF9AE}" pid="8" name="MSIP_Label_79d889eb-932f-4752-8739-64d25806ef64_ContentBits">
    <vt:lpwstr>0</vt:lpwstr>
  </property>
  <property fmtid="{D5CDD505-2E9C-101B-9397-08002B2CF9AE}" pid="9" name="ContentTypeId">
    <vt:lpwstr>0x010100BF5BD7BA60FBAA408748C89ED6BBDBE7</vt:lpwstr>
  </property>
  <property fmtid="{D5CDD505-2E9C-101B-9397-08002B2CF9AE}" pid="10" name="_dlc_DocIdItemGuid">
    <vt:lpwstr>dda13640-fa7e-4c9f-898f-dfe9c4e4c4de</vt:lpwstr>
  </property>
  <property fmtid="{D5CDD505-2E9C-101B-9397-08002B2CF9AE}" pid="11" name="MediaServiceImageTags">
    <vt:lpwstr/>
  </property>
</Properties>
</file>